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header13.xml" ContentType="application/vnd.openxmlformats-officedocument.wordprocessingml.header+xml"/>
  <Override PartName="/word/header4.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7.xml" ContentType="application/vnd.openxmlformats-officedocument.wordprocessingml.header+xml"/>
  <Override PartName="/word/header1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embeddings/oleObject2.docx" ContentType="application/vnd.openxmlformats-officedocument.wordprocessingml.document"/>
  <Override PartName="/word/embeddings/oleObject1.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footer3.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10.xml" ContentType="application/vnd.openxmlformats-officedocument.wordprocessingml.footer+xml"/>
  <Override PartName="/word/footer7.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image2.wmf" ContentType="image/x-wmf"/>
  <Override PartName="/word/media/image1.png" ContentType="image/png"/>
  <Override PartName="/word/media/image3.wmf" ContentType="image/x-wmf"/>
  <Override PartName="/word/media/image5.wmf" ContentType="image/x-wmf"/>
  <Override PartName="/word/media/image4.wmf" ContentType="image/x-wmf"/>
  <Override PartName="/word/header6.xml" ContentType="application/vnd.openxmlformats-officedocument.wordprocessingml.header+xml"/>
  <Override PartName="/word/footer8.xml" ContentType="application/vnd.openxmlformats-officedocument.wordprocessingml.footer+xml"/>
  <Override PartName="/word/styles.xml" ContentType="application/vnd.openxmlformats-officedocument.wordprocessingml.styles+xml"/>
  <Override PartName="/word/footer11.xml" ContentType="application/vnd.openxmlformats-officedocument.wordprocessingml.footer+xml"/>
  <Override PartName="/word/fontTable.xml" ContentType="application/vnd.openxmlformats-officedocument.wordprocessingml.fontTable+xml"/>
  <Override PartName="/word/footer9.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348" w:type="dxa"/>
        <w:jc w:val="left"/>
        <w:tblInd w:w="108" w:type="dxa"/>
        <w:tblLayout w:type="fixed"/>
        <w:tblCellMar>
          <w:top w:w="0" w:type="dxa"/>
          <w:left w:w="108" w:type="dxa"/>
          <w:bottom w:w="0" w:type="dxa"/>
          <w:right w:w="108" w:type="dxa"/>
        </w:tblCellMar>
        <w:tblLook w:lastRow="0" w:firstRow="1" w:lastColumn="0" w:firstColumn="1" w:val="04a0" w:noHBand="0" w:noVBand="1"/>
      </w:tblPr>
      <w:tblGrid>
        <w:gridCol w:w="2835"/>
        <w:gridCol w:w="4820"/>
        <w:gridCol w:w="2693"/>
      </w:tblGrid>
      <w:tr>
        <w:trPr>
          <w:trHeight w:val="1100" w:hRule="atLeast"/>
        </w:trPr>
        <w:tc>
          <w:tcPr>
            <w:tcW w:w="2835" w:type="dxa"/>
            <w:tcBorders>
              <w:bottom w:val="single" w:sz="12" w:space="0" w:color="000000"/>
            </w:tcBorders>
            <w:shd w:color="auto" w:fill="auto" w:val="clear"/>
          </w:tcPr>
          <w:p>
            <w:pPr>
              <w:pStyle w:val="Normal"/>
              <w:widowControl w:val="false"/>
              <w:spacing w:before="0" w:after="0"/>
              <w:jc w:val="center"/>
              <w:rPr>
                <w:rFonts w:ascii="Calibri" w:hAnsi="Calibri" w:eastAsia="Calibri"/>
                <w:color w:val="000080"/>
                <w:sz w:val="16"/>
              </w:rPr>
            </w:pPr>
            <w:r>
              <w:rPr>
                <w:rFonts w:eastAsia="Calibri" w:ascii="Calibri" w:hAnsi="Calibri"/>
                <w:color w:val="000080"/>
                <w:sz w:val="16"/>
              </w:rPr>
            </w:r>
            <w:bookmarkStart w:id="0" w:name="_GoBack"/>
            <w:bookmarkStart w:id="1" w:name="_GoBack"/>
            <w:bookmarkEnd w:id="1"/>
          </w:p>
        </w:tc>
        <w:tc>
          <w:tcPr>
            <w:tcW w:w="4820" w:type="dxa"/>
            <w:tcBorders>
              <w:bottom w:val="single" w:sz="12" w:space="0" w:color="000000"/>
            </w:tcBorders>
            <w:shd w:color="auto" w:fill="auto" w:val="clear"/>
          </w:tcPr>
          <w:p>
            <w:pPr>
              <w:pStyle w:val="Normal"/>
              <w:widowControl w:val="false"/>
              <w:spacing w:before="120" w:after="0"/>
              <w:jc w:val="center"/>
              <w:rPr>
                <w:color w:val="000080"/>
                <w:sz w:val="16"/>
              </w:rPr>
            </w:pPr>
            <w:r>
              <w:rPr/>
              <w:drawing>
                <wp:inline distT="0" distB="0" distL="0" distR="0">
                  <wp:extent cx="1708150" cy="35941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1708150" cy="359410"/>
                          </a:xfrm>
                          <a:prstGeom prst="rect">
                            <a:avLst/>
                          </a:prstGeom>
                        </pic:spPr>
                      </pic:pic>
                    </a:graphicData>
                  </a:graphic>
                </wp:inline>
              </w:drawing>
            </w:r>
          </w:p>
          <w:p>
            <w:pPr>
              <w:pStyle w:val="Normal"/>
              <w:widowControl w:val="false"/>
              <w:spacing w:before="0" w:after="0"/>
              <w:jc w:val="center"/>
              <w:rPr>
                <w:rFonts w:ascii="Calibri" w:hAnsi="Calibri" w:eastAsia="Calibri"/>
                <w:color w:val="000080"/>
                <w:sz w:val="16"/>
              </w:rPr>
            </w:pPr>
            <w:r>
              <w:rPr>
                <w:rFonts w:cs="Arial" w:ascii="Arial" w:hAnsi="Arial"/>
                <w:b/>
                <w:sz w:val="22"/>
              </w:rPr>
              <w:t>ПАО «Якутскэнерго»</w:t>
            </w:r>
          </w:p>
        </w:tc>
        <w:tc>
          <w:tcPr>
            <w:tcW w:w="2693" w:type="dxa"/>
            <w:tcBorders>
              <w:bottom w:val="single" w:sz="12" w:space="0" w:color="000000"/>
            </w:tcBorders>
            <w:shd w:color="auto" w:fill="auto" w:val="clear"/>
          </w:tcPr>
          <w:p>
            <w:pPr>
              <w:pStyle w:val="Normal"/>
              <w:widowControl w:val="false"/>
              <w:tabs>
                <w:tab w:val="clear" w:pos="708"/>
                <w:tab w:val="left" w:pos="709" w:leader="none"/>
                <w:tab w:val="left" w:pos="5670" w:leader="none"/>
                <w:tab w:val="left" w:pos="7230" w:leader="none"/>
              </w:tabs>
              <w:spacing w:before="0" w:after="0"/>
              <w:jc w:val="center"/>
              <w:rPr>
                <w:rFonts w:ascii="Calibri" w:hAnsi="Calibri" w:eastAsia="Calibri"/>
                <w:color w:val="000080"/>
                <w:sz w:val="16"/>
              </w:rPr>
            </w:pPr>
            <w:r>
              <w:rPr>
                <w:rFonts w:eastAsia="Calibri" w:ascii="Calibri" w:hAnsi="Calibri"/>
                <w:color w:val="000080"/>
                <w:sz w:val="16"/>
              </w:rPr>
            </w:r>
          </w:p>
        </w:tc>
      </w:tr>
    </w:tbl>
    <w:p>
      <w:pPr>
        <w:pStyle w:val="Normal"/>
        <w:ind w:left="4395" w:hanging="11"/>
        <w:jc w:val="right"/>
        <w:rPr/>
      </w:pPr>
      <w:r>
        <w:rPr/>
        <w:t xml:space="preserve">                                          </w:t>
      </w:r>
      <w:r>
        <w:rPr/>
        <w:t>«УТВЕРЖДАЮ»</w:t>
      </w:r>
    </w:p>
    <w:p>
      <w:pPr>
        <w:pStyle w:val="Normal"/>
        <w:ind w:left="4395" w:hanging="11"/>
        <w:jc w:val="right"/>
        <w:rPr/>
      </w:pPr>
      <w:r>
        <w:rPr/>
        <w:t xml:space="preserve">Председатель Закупочной комиссии </w:t>
      </w:r>
    </w:p>
    <w:p>
      <w:pPr>
        <w:pStyle w:val="Normal"/>
        <w:ind w:left="4395" w:hanging="11"/>
        <w:jc w:val="right"/>
        <w:rPr/>
      </w:pPr>
      <w:r>
        <w:rPr/>
        <w:t>1-го уровня ПАО «Якутскэнерго»</w:t>
      </w:r>
    </w:p>
    <w:p>
      <w:pPr>
        <w:pStyle w:val="Normal"/>
        <w:ind w:left="4395" w:hanging="11"/>
        <w:jc w:val="right"/>
        <w:rPr/>
      </w:pPr>
      <w:r>
        <w:rPr/>
        <w:t>_____________А.В.Чибисов</w:t>
      </w:r>
    </w:p>
    <w:p>
      <w:pPr>
        <w:pStyle w:val="Normal"/>
        <w:ind w:left="4395" w:hanging="11"/>
        <w:jc w:val="right"/>
        <w:rPr>
          <w:sz w:val="24"/>
          <w:szCs w:val="24"/>
        </w:rPr>
      </w:pPr>
      <w:r>
        <w:rPr/>
        <w:t>«</w:t>
      </w:r>
      <w:r>
        <w:rPr/>
        <w:t>06</w:t>
      </w:r>
      <w:r>
        <w:rPr/>
        <w:t>» февраля 2025 года</w:t>
      </w:r>
    </w:p>
    <w:p>
      <w:pPr>
        <w:pStyle w:val="Style30"/>
        <w:spacing w:before="120" w:after="360"/>
        <w:rPr/>
      </w:pPr>
      <w:r>
        <w:rPr/>
      </w:r>
    </w:p>
    <w:p>
      <w:pPr>
        <w:pStyle w:val="Style30"/>
        <w:rPr/>
      </w:pPr>
      <w:r>
        <w:rPr/>
      </w:r>
    </w:p>
    <w:p>
      <w:pPr>
        <w:pStyle w:val="Style30"/>
        <w:rPr/>
      </w:pPr>
      <w:r>
        <w:rPr/>
      </w:r>
    </w:p>
    <w:p>
      <w:pPr>
        <w:pStyle w:val="Style30"/>
        <w:rPr/>
      </w:pPr>
      <w:r>
        <w:rPr/>
      </w:r>
    </w:p>
    <w:p>
      <w:pPr>
        <w:pStyle w:val="Style30"/>
        <w:rPr/>
      </w:pPr>
      <w:r>
        <w:rPr/>
      </w:r>
    </w:p>
    <w:p>
      <w:pPr>
        <w:pStyle w:val="Style30"/>
        <w:keepNext w:val="true"/>
        <w:numPr>
          <w:ilvl w:val="0"/>
          <w:numId w:val="0"/>
        </w:numPr>
        <w:jc w:val="center"/>
        <w:outlineLvl w:val="2"/>
        <w:rPr>
          <w:b/>
          <w:bCs/>
          <w:caps/>
        </w:rPr>
      </w:pPr>
      <w:r>
        <w:rPr>
          <w:b/>
          <w:bCs/>
          <w:caps/>
        </w:rPr>
        <w:t>Документация о закупке</w:t>
      </w:r>
    </w:p>
    <w:p>
      <w:pPr>
        <w:pStyle w:val="Normal"/>
        <w:jc w:val="center"/>
        <w:rPr>
          <w:color w:val="000000" w:themeColor="text1"/>
        </w:rPr>
      </w:pPr>
      <w:r>
        <w:rPr/>
        <w:t xml:space="preserve">АУКЦИОН В ЭЛЕКТРОННОЙ ФОРМЕ </w:t>
      </w:r>
      <w:r>
        <w:rPr>
          <w:sz w:val="24"/>
          <w:szCs w:val="24"/>
        </w:rPr>
        <w:t xml:space="preserve">НА ПРАВО ЗАКЛЮЧЕНИЯ ДОГОВОРОВ ПО ТИТУЛУ ОКПД2 64.19.21.000. ПРЕДОСТАВЛЕНИЕ КРЕДИТНОЙ ЛИНИИ ДЛЯ НУЖД ПАО «ЯКУТСКЭНЕРГО» </w:t>
      </w:r>
      <w:r>
        <w:rPr>
          <w:color w:val="000000" w:themeColor="text1"/>
        </w:rPr>
        <w:t xml:space="preserve">ПО ЛОТАМ: </w:t>
      </w:r>
    </w:p>
    <w:p>
      <w:pPr>
        <w:pStyle w:val="Tableheader"/>
        <w:widowControl w:val="false"/>
        <w:rPr>
          <w:b w:val="false"/>
          <w:sz w:val="26"/>
          <w:szCs w:val="26"/>
        </w:rPr>
      </w:pPr>
      <w:r>
        <w:rPr>
          <w:b w:val="false"/>
          <w:sz w:val="26"/>
          <w:szCs w:val="26"/>
        </w:rPr>
        <w:t>Лот № 1 (28001-ФИН ФД-2025-ЯЭ)</w:t>
      </w:r>
    </w:p>
    <w:p>
      <w:pPr>
        <w:pStyle w:val="Tableheader"/>
        <w:widowControl w:val="false"/>
        <w:rPr>
          <w:b w:val="false"/>
          <w:sz w:val="26"/>
          <w:szCs w:val="26"/>
        </w:rPr>
      </w:pPr>
      <w:r>
        <w:rPr>
          <w:b w:val="false"/>
          <w:sz w:val="26"/>
          <w:szCs w:val="26"/>
        </w:rPr>
        <w:t>Лот № 2 (28002-ФИН ФД-2025-ЯЭ)</w:t>
      </w:r>
    </w:p>
    <w:p>
      <w:pPr>
        <w:pStyle w:val="Tableheader"/>
        <w:widowControl w:val="false"/>
        <w:rPr>
          <w:b w:val="false"/>
          <w:sz w:val="26"/>
          <w:szCs w:val="26"/>
        </w:rPr>
      </w:pPr>
      <w:r>
        <w:rPr>
          <w:b w:val="false"/>
          <w:sz w:val="26"/>
          <w:szCs w:val="26"/>
        </w:rPr>
        <w:t>Лот № 3 (28003-ФИН ФД-2025-ЯЭ)</w:t>
      </w:r>
    </w:p>
    <w:p>
      <w:pPr>
        <w:pStyle w:val="Style30"/>
        <w:keepNext w:val="true"/>
        <w:rPr/>
      </w:pPr>
      <w:r>
        <w:rPr/>
      </w:r>
    </w:p>
    <w:p>
      <w:pPr>
        <w:sectPr>
          <w:footerReference w:type="default" r:id="rId3"/>
          <w:type w:val="nextPage"/>
          <w:pgSz w:w="11906" w:h="16838"/>
          <w:pgMar w:left="1134" w:right="850" w:gutter="0" w:header="0" w:top="851" w:footer="567" w:bottom="851"/>
          <w:pgNumType w:fmt="decimal"/>
          <w:formProt w:val="false"/>
          <w:textDirection w:val="lrTb"/>
          <w:docGrid w:type="default" w:linePitch="360" w:charSpace="4294963199"/>
        </w:sectPr>
        <w:pStyle w:val="Style30"/>
        <w:rPr/>
      </w:pPr>
      <w:r>
        <w:rPr/>
      </w:r>
    </w:p>
    <w:p>
      <w:pPr>
        <w:pStyle w:val="Style29"/>
        <w:numPr>
          <w:ilvl w:val="0"/>
          <w:numId w:val="0"/>
        </w:numPr>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r>
            <w:fldChar w:fldCharType="begin"/>
          </w:r>
          <w:r>
            <w:rPr>
              <w:webHidden/>
              <w:rStyle w:val="Style20"/>
            </w:rPr>
            <w:instrText xml:space="preserve"> TOC \z \u \t "[РГ] Подраздел,2,[РГ] Раздел,1" \h</w:instrText>
          </w:r>
          <w:r>
            <w:rPr>
              <w:webHidden/>
              <w:rStyle w:val="Style20"/>
            </w:rPr>
            <w:fldChar w:fldCharType="separate"/>
          </w:r>
          <w:hyperlink w:anchor="_Toc186223973">
            <w:r>
              <w:rPr>
                <w:webHidden/>
                <w:rStyle w:val="Style20"/>
              </w:rPr>
              <w:t>Сокращения</w:t>
            </w:r>
            <w:r>
              <w:rPr>
                <w:webHidden/>
              </w:rPr>
              <w:fldChar w:fldCharType="begin"/>
            </w:r>
            <w:r>
              <w:rPr>
                <w:webHidden/>
              </w:rPr>
              <w:instrText xml:space="preserve">PAGEREF _Toc186223973 \h</w:instrText>
            </w:r>
            <w:r>
              <w:rPr>
                <w:webHidden/>
              </w:rPr>
              <w:fldChar w:fldCharType="separate"/>
            </w:r>
            <w:r>
              <w:rPr>
                <w:rStyle w:val="Style20"/>
                <w:vanish w:val="false"/>
              </w:rPr>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3974">
            <w:r>
              <w:rPr>
                <w:webHidden/>
                <w:rStyle w:val="Style20"/>
              </w:rPr>
              <w:t>Термины и определения</w:t>
            </w:r>
            <w:r>
              <w:rPr>
                <w:webHidden/>
              </w:rPr>
              <w:fldChar w:fldCharType="begin"/>
            </w:r>
            <w:r>
              <w:rPr>
                <w:webHidden/>
              </w:rPr>
              <w:instrText xml:space="preserve">PAGEREF _Toc186223974 \h</w:instrText>
            </w:r>
            <w:r>
              <w:rPr>
                <w:webHidden/>
              </w:rPr>
              <w:fldChar w:fldCharType="separate"/>
            </w:r>
            <w:r>
              <w:rPr>
                <w:rStyle w:val="Style20"/>
                <w:vanish w:val="false"/>
              </w:rPr>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3975">
            <w:r>
              <w:rPr>
                <w:webHidden/>
                <w:rStyle w:val="Style20"/>
              </w:rPr>
              <w:t>1.</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Основные сведения о закупке</w:t>
            </w:r>
            <w:r>
              <w:rPr>
                <w:webHidden/>
              </w:rPr>
              <w:fldChar w:fldCharType="begin"/>
            </w:r>
            <w:r>
              <w:rPr>
                <w:webHidden/>
              </w:rPr>
              <w:instrText xml:space="preserve">PAGEREF _Toc186223975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76">
            <w:r>
              <w:rPr>
                <w:webHidden/>
                <w:rStyle w:val="Style20"/>
              </w:rPr>
              <w:t>1.1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Статус настоящего раздела</w:t>
            </w:r>
            <w:r>
              <w:rPr>
                <w:webHidden/>
              </w:rPr>
              <w:fldChar w:fldCharType="begin"/>
            </w:r>
            <w:r>
              <w:rPr>
                <w:webHidden/>
              </w:rPr>
              <w:instrText xml:space="preserve">PAGEREF _Toc186223976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77">
            <w:r>
              <w:rPr>
                <w:webHidden/>
                <w:rStyle w:val="Style20"/>
              </w:rPr>
              <w:t>1.2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Информация о проводимой закупке</w:t>
            </w:r>
            <w:r>
              <w:rPr>
                <w:webHidden/>
              </w:rPr>
              <w:fldChar w:fldCharType="begin"/>
            </w:r>
            <w:r>
              <w:rPr>
                <w:webHidden/>
              </w:rPr>
              <w:instrText xml:space="preserve">PAGEREF _Toc186223977 \h</w:instrText>
            </w:r>
            <w:r>
              <w:rPr>
                <w:webHidden/>
              </w:rPr>
              <w:fldChar w:fldCharType="separate"/>
            </w:r>
            <w:r>
              <w:rPr>
                <w:rStyle w:val="Style20"/>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3978">
            <w:r>
              <w:rPr>
                <w:webHidden/>
                <w:rStyle w:val="Style20"/>
              </w:rPr>
              <w:t>2.</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Общие положения</w:t>
            </w:r>
            <w:r>
              <w:rPr>
                <w:webHidden/>
              </w:rPr>
              <w:fldChar w:fldCharType="begin"/>
            </w:r>
            <w:r>
              <w:rPr>
                <w:webHidden/>
              </w:rPr>
              <w:instrText xml:space="preserve">PAGEREF _Toc186223978 \h</w:instrText>
            </w:r>
            <w:r>
              <w:rPr>
                <w:webHidden/>
              </w:rPr>
              <w:fldChar w:fldCharType="separate"/>
            </w:r>
            <w:r>
              <w:rPr>
                <w:rStyle w:val="Style20"/>
                <w:vanish w:val="false"/>
              </w:rPr>
              <w:tab/>
              <w:t>22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79">
            <w:r>
              <w:rPr>
                <w:webHidden/>
                <w:rStyle w:val="Style20"/>
              </w:rPr>
              <w:t>2.1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Общие сведения о закупке</w:t>
            </w:r>
            <w:r>
              <w:rPr>
                <w:webHidden/>
              </w:rPr>
              <w:fldChar w:fldCharType="begin"/>
            </w:r>
            <w:r>
              <w:rPr>
                <w:webHidden/>
              </w:rPr>
              <w:instrText xml:space="preserve">PAGEREF _Toc186223979 \h</w:instrText>
            </w:r>
            <w:r>
              <w:rPr>
                <w:webHidden/>
              </w:rPr>
              <w:fldChar w:fldCharType="separate"/>
            </w:r>
            <w:r>
              <w:rPr>
                <w:rStyle w:val="Style20"/>
                <w:vanish w:val="false"/>
              </w:rPr>
              <w:tab/>
              <w:t>22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0">
            <w:r>
              <w:rPr>
                <w:webHidden/>
                <w:rStyle w:val="Style20"/>
              </w:rPr>
              <w:t>2.2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Правовой статус документов</w:t>
            </w:r>
            <w:r>
              <w:rPr>
                <w:webHidden/>
              </w:rPr>
              <w:fldChar w:fldCharType="begin"/>
            </w:r>
            <w:r>
              <w:rPr>
                <w:webHidden/>
              </w:rPr>
              <w:instrText xml:space="preserve">PAGEREF _Toc186223980 \h</w:instrText>
            </w:r>
            <w:r>
              <w:rPr>
                <w:webHidden/>
              </w:rPr>
              <w:fldChar w:fldCharType="separate"/>
            </w:r>
            <w:r>
              <w:rPr>
                <w:rStyle w:val="Style20"/>
                <w:vanish w:val="false"/>
              </w:rPr>
              <w:tab/>
              <w:t>22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1">
            <w:r>
              <w:rPr>
                <w:webHidden/>
                <w:rStyle w:val="Style20"/>
              </w:rPr>
              <w:t>2.3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Обжалование</w:t>
            </w:r>
            <w:r>
              <w:rPr>
                <w:webHidden/>
              </w:rPr>
              <w:fldChar w:fldCharType="begin"/>
            </w:r>
            <w:r>
              <w:rPr>
                <w:webHidden/>
              </w:rPr>
              <w:instrText xml:space="preserve">PAGEREF _Toc186223981 \h</w:instrText>
            </w:r>
            <w:r>
              <w:rPr>
                <w:webHidden/>
              </w:rPr>
              <w:fldChar w:fldCharType="separate"/>
            </w:r>
            <w:r>
              <w:rPr>
                <w:rStyle w:val="Style20"/>
                <w:vanish w:val="false"/>
              </w:rPr>
              <w:tab/>
              <w:t>23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2">
            <w:r>
              <w:rPr>
                <w:webHidden/>
                <w:rStyle w:val="Style20"/>
              </w:rPr>
              <w:t>2.4</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Особые положения при проведении закупки с использованием ЭП</w:t>
            </w:r>
            <w:r>
              <w:rPr>
                <w:webHidden/>
              </w:rPr>
              <w:fldChar w:fldCharType="begin"/>
            </w:r>
            <w:r>
              <w:rPr>
                <w:webHidden/>
              </w:rPr>
              <w:instrText xml:space="preserve">PAGEREF _Toc186223982 \h</w:instrText>
            </w:r>
            <w:r>
              <w:rPr>
                <w:webHidden/>
              </w:rPr>
              <w:fldChar w:fldCharType="separate"/>
            </w:r>
            <w:r>
              <w:rPr>
                <w:rStyle w:val="Style20"/>
                <w:vanish w:val="false"/>
              </w:rPr>
              <w:tab/>
              <w:t>24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3">
            <w:r>
              <w:rPr>
                <w:webHidden/>
                <w:rStyle w:val="Style20"/>
              </w:rPr>
              <w:t>2.5</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Прочие положения</w:t>
            </w:r>
            <w:r>
              <w:rPr>
                <w:webHidden/>
              </w:rPr>
              <w:fldChar w:fldCharType="begin"/>
            </w:r>
            <w:r>
              <w:rPr>
                <w:webHidden/>
              </w:rPr>
              <w:instrText xml:space="preserve">PAGEREF _Toc186223983 \h</w:instrText>
            </w:r>
            <w:r>
              <w:rPr>
                <w:webHidden/>
              </w:rPr>
              <w:fldChar w:fldCharType="separate"/>
            </w:r>
            <w:r>
              <w:rPr>
                <w:rStyle w:val="Style20"/>
                <w:vanish w:val="false"/>
              </w:rPr>
              <w:tab/>
              <w:t>24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3984">
            <w:r>
              <w:rPr>
                <w:webHidden/>
                <w:rStyle w:val="Style20"/>
              </w:rPr>
              <w:t>3.</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Требования к Участникам</w:t>
            </w:r>
            <w:r>
              <w:rPr>
                <w:webHidden/>
              </w:rPr>
              <w:fldChar w:fldCharType="begin"/>
            </w:r>
            <w:r>
              <w:rPr>
                <w:webHidden/>
              </w:rPr>
              <w:instrText xml:space="preserve">PAGEREF _Toc186223984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5">
            <w:r>
              <w:rPr>
                <w:webHidden/>
                <w:rStyle w:val="Style20"/>
              </w:rPr>
              <w:t>3.1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Общие требования к Участникам</w:t>
            </w:r>
            <w:r>
              <w:rPr>
                <w:webHidden/>
              </w:rPr>
              <w:fldChar w:fldCharType="begin"/>
            </w:r>
            <w:r>
              <w:rPr>
                <w:webHidden/>
              </w:rPr>
              <w:instrText xml:space="preserve">PAGEREF _Toc186223985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6">
            <w:r>
              <w:rPr>
                <w:webHidden/>
                <w:rStyle w:val="Style20"/>
              </w:rPr>
              <w:t>3.2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Коллективные участники</w:t>
            </w:r>
            <w:r>
              <w:rPr>
                <w:webHidden/>
              </w:rPr>
              <w:fldChar w:fldCharType="begin"/>
            </w:r>
            <w:r>
              <w:rPr>
                <w:webHidden/>
              </w:rPr>
              <w:instrText xml:space="preserve">PAGEREF _Toc186223986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7">
            <w:r>
              <w:rPr>
                <w:webHidden/>
                <w:rStyle w:val="Style20"/>
              </w:rPr>
              <w:t>3.3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Генеральные подрядчики</w:t>
            </w:r>
            <w:r>
              <w:rPr>
                <w:webHidden/>
              </w:rPr>
              <w:fldChar w:fldCharType="begin"/>
            </w:r>
            <w:r>
              <w:rPr>
                <w:webHidden/>
              </w:rPr>
              <w:instrText xml:space="preserve">PAGEREF _Toc186223987 \h</w:instrText>
            </w:r>
            <w:r>
              <w:rPr>
                <w:webHidden/>
              </w:rPr>
              <w:fldChar w:fldCharType="separate"/>
            </w:r>
            <w:r>
              <w:rPr>
                <w:rStyle w:val="Style20"/>
                <w:vanish w:val="false"/>
              </w:rPr>
              <w:tab/>
              <w:t>27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88">
            <w:r>
              <w:rPr>
                <w:webHidden/>
                <w:rStyle w:val="Style20"/>
              </w:rPr>
              <w:t>3.4</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Привлечение субподрядчиков (соисполнителей) из числа субъектов МСП</w:t>
            </w:r>
            <w:r>
              <w:rPr>
                <w:webHidden/>
              </w:rPr>
              <w:fldChar w:fldCharType="begin"/>
            </w:r>
            <w:r>
              <w:rPr>
                <w:webHidden/>
              </w:rPr>
              <w:instrText xml:space="preserve">PAGEREF _Toc186223988 \h</w:instrText>
            </w:r>
            <w:r>
              <w:rPr>
                <w:webHidden/>
              </w:rPr>
              <w:fldChar w:fldCharType="separate"/>
            </w:r>
            <w:r>
              <w:rPr>
                <w:rStyle w:val="Style20"/>
                <w:vanish w:val="false"/>
              </w:rPr>
              <w:tab/>
              <w:t>28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3989">
            <w:r>
              <w:rPr>
                <w:webHidden/>
                <w:rStyle w:val="Style20"/>
              </w:rPr>
              <w:t>4.</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Порядок проведения закупки</w:t>
            </w:r>
            <w:r>
              <w:rPr>
                <w:webHidden/>
              </w:rPr>
              <w:fldChar w:fldCharType="begin"/>
            </w:r>
            <w:r>
              <w:rPr>
                <w:webHidden/>
              </w:rPr>
              <w:instrText xml:space="preserve">PAGEREF _Toc186223989 \h</w:instrText>
            </w:r>
            <w:r>
              <w:rPr>
                <w:webHidden/>
              </w:rPr>
              <w:fldChar w:fldCharType="separate"/>
            </w:r>
            <w:r>
              <w:rPr>
                <w:rStyle w:val="Style20"/>
                <w:vanish w:val="false"/>
              </w:rPr>
              <w:tab/>
              <w:t>30</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0">
            <w:r>
              <w:rPr>
                <w:webHidden/>
                <w:rStyle w:val="Style20"/>
              </w:rPr>
              <w:t>4.1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Общий порядок проведения закупки</w:t>
            </w:r>
            <w:r>
              <w:rPr>
                <w:webHidden/>
              </w:rPr>
              <w:fldChar w:fldCharType="begin"/>
            </w:r>
            <w:r>
              <w:rPr>
                <w:webHidden/>
              </w:rPr>
              <w:instrText xml:space="preserve">PAGEREF _Toc186223990 \h</w:instrText>
            </w:r>
            <w:r>
              <w:rPr>
                <w:webHidden/>
              </w:rPr>
              <w:fldChar w:fldCharType="separate"/>
            </w:r>
            <w:r>
              <w:rPr>
                <w:rStyle w:val="Style20"/>
                <w:vanish w:val="false"/>
              </w:rPr>
              <w:tab/>
              <w:t>30</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1">
            <w:r>
              <w:rPr>
                <w:webHidden/>
                <w:rStyle w:val="Style20"/>
              </w:rPr>
              <w:t>4.2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Официальное размещение Извещения и Документации о закупке</w:t>
            </w:r>
            <w:r>
              <w:rPr>
                <w:webHidden/>
              </w:rPr>
              <w:fldChar w:fldCharType="begin"/>
            </w:r>
            <w:r>
              <w:rPr>
                <w:webHidden/>
              </w:rPr>
              <w:instrText xml:space="preserve">PAGEREF _Toc186223991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2">
            <w:r>
              <w:rPr>
                <w:webHidden/>
                <w:rStyle w:val="Style20"/>
              </w:rPr>
              <w:t>4.3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Подготовка заявки</w:t>
            </w:r>
            <w:r>
              <w:rPr>
                <w:webHidden/>
              </w:rPr>
              <w:fldChar w:fldCharType="begin"/>
            </w:r>
            <w:r>
              <w:rPr>
                <w:webHidden/>
              </w:rPr>
              <w:instrText xml:space="preserve">PAGEREF _Toc186223992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3">
            <w:r>
              <w:rPr>
                <w:webHidden/>
                <w:rStyle w:val="Style20"/>
              </w:rPr>
              <w:t>4.4</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Разъяснение Документации о закупке</w:t>
            </w:r>
            <w:r>
              <w:rPr>
                <w:webHidden/>
              </w:rPr>
              <w:fldChar w:fldCharType="begin"/>
            </w:r>
            <w:r>
              <w:rPr>
                <w:webHidden/>
              </w:rPr>
              <w:instrText xml:space="preserve">PAGEREF _Toc186223993 \h</w:instrText>
            </w:r>
            <w:r>
              <w:rPr>
                <w:webHidden/>
              </w:rPr>
              <w:fldChar w:fldCharType="separate"/>
            </w:r>
            <w:r>
              <w:rPr>
                <w:rStyle w:val="Style20"/>
                <w:vanish w:val="false"/>
              </w:rPr>
              <w:tab/>
              <w:t>35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4">
            <w:r>
              <w:rPr>
                <w:webHidden/>
                <w:rStyle w:val="Style20"/>
              </w:rPr>
              <w:t>4.5</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Изменения Извещения и (или) Документации о закупке</w:t>
            </w:r>
            <w:r>
              <w:rPr>
                <w:webHidden/>
              </w:rPr>
              <w:fldChar w:fldCharType="begin"/>
            </w:r>
            <w:r>
              <w:rPr>
                <w:webHidden/>
              </w:rPr>
              <w:instrText xml:space="preserve">PAGEREF _Toc186223994 \h</w:instrText>
            </w:r>
            <w:r>
              <w:rPr>
                <w:webHidden/>
              </w:rPr>
              <w:fldChar w:fldCharType="separate"/>
            </w:r>
            <w:r>
              <w:rPr>
                <w:rStyle w:val="Style20"/>
                <w:vanish w:val="false"/>
              </w:rPr>
              <w:tab/>
              <w:t>35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5">
            <w:r>
              <w:rPr>
                <w:webHidden/>
                <w:rStyle w:val="Style20"/>
              </w:rPr>
              <w:t>4.6</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Подача заявок и их прием</w:t>
            </w:r>
            <w:r>
              <w:rPr>
                <w:webHidden/>
              </w:rPr>
              <w:fldChar w:fldCharType="begin"/>
            </w:r>
            <w:r>
              <w:rPr>
                <w:webHidden/>
              </w:rPr>
              <w:instrText xml:space="preserve">PAGEREF _Toc186223995 \h</w:instrText>
            </w:r>
            <w:r>
              <w:rPr>
                <w:webHidden/>
              </w:rPr>
              <w:fldChar w:fldCharType="separate"/>
            </w:r>
            <w:r>
              <w:rPr>
                <w:rStyle w:val="Style20"/>
                <w:vanish w:val="false"/>
              </w:rPr>
              <w:tab/>
              <w:t>36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6">
            <w:r>
              <w:rPr>
                <w:webHidden/>
                <w:rStyle w:val="Style20"/>
              </w:rPr>
              <w:t>4.7</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Изменение и отзыв заявок</w:t>
            </w:r>
            <w:r>
              <w:rPr>
                <w:webHidden/>
              </w:rPr>
              <w:fldChar w:fldCharType="begin"/>
            </w:r>
            <w:r>
              <w:rPr>
                <w:webHidden/>
              </w:rPr>
              <w:instrText xml:space="preserve">PAGEREF _Toc186223996 \h</w:instrText>
            </w:r>
            <w:r>
              <w:rPr>
                <w:webHidden/>
              </w:rPr>
              <w:fldChar w:fldCharType="separate"/>
            </w:r>
            <w:r>
              <w:rPr>
                <w:rStyle w:val="Style20"/>
                <w:vanish w:val="false"/>
              </w:rPr>
              <w:tab/>
              <w:t>37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7">
            <w:r>
              <w:rPr>
                <w:webHidden/>
                <w:rStyle w:val="Style20"/>
              </w:rPr>
              <w:t>4.8</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Открытие доступа к заявкам</w:t>
            </w:r>
            <w:r>
              <w:rPr>
                <w:webHidden/>
              </w:rPr>
              <w:fldChar w:fldCharType="begin"/>
            </w:r>
            <w:r>
              <w:rPr>
                <w:webHidden/>
              </w:rPr>
              <w:instrText xml:space="preserve">PAGEREF _Toc186223997 \h</w:instrText>
            </w:r>
            <w:r>
              <w:rPr>
                <w:webHidden/>
              </w:rPr>
              <w:fldChar w:fldCharType="separate"/>
            </w:r>
            <w:r>
              <w:rPr>
                <w:rStyle w:val="Style20"/>
                <w:vanish w:val="false"/>
              </w:rPr>
              <w:tab/>
              <w:t>37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8">
            <w:r>
              <w:rPr>
                <w:webHidden/>
                <w:rStyle w:val="Style20"/>
              </w:rPr>
              <w:t>4.9</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_Toc186223998 \h</w:instrText>
            </w:r>
            <w:r>
              <w:rPr>
                <w:webHidden/>
              </w:rPr>
              <w:fldChar w:fldCharType="separate"/>
            </w:r>
            <w:r>
              <w:rPr>
                <w:rStyle w:val="Style20"/>
                <w:vanish w:val="false"/>
              </w:rPr>
              <w:tab/>
              <w:t>37</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3999">
            <w:r>
              <w:rPr>
                <w:webHidden/>
                <w:rStyle w:val="Style20"/>
              </w:rPr>
              <w:t>4.10</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Дополнительные запросы разъяснений заявок</w:t>
            </w:r>
            <w:r>
              <w:rPr>
                <w:webHidden/>
              </w:rPr>
              <w:fldChar w:fldCharType="begin"/>
            </w:r>
            <w:r>
              <w:rPr>
                <w:webHidden/>
              </w:rPr>
              <w:instrText xml:space="preserve">PAGEREF _Toc186223999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0">
            <w:r>
              <w:rPr>
                <w:webHidden/>
                <w:rStyle w:val="Style20"/>
              </w:rPr>
              <w:t>4.11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Проведение аукциона</w:t>
            </w:r>
            <w:r>
              <w:rPr>
                <w:webHidden/>
              </w:rPr>
              <w:fldChar w:fldCharType="begin"/>
            </w:r>
            <w:r>
              <w:rPr>
                <w:webHidden/>
              </w:rPr>
              <w:instrText xml:space="preserve">PAGEREF _Toc186224000 \h</w:instrText>
            </w:r>
            <w:r>
              <w:rPr>
                <w:webHidden/>
              </w:rPr>
              <w:fldChar w:fldCharType="separate"/>
            </w:r>
            <w:r>
              <w:rPr>
                <w:rStyle w:val="Style20"/>
                <w:vanish w:val="false"/>
              </w:rPr>
              <w:tab/>
              <w:t>41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1">
            <w:r>
              <w:rPr>
                <w:webHidden/>
                <w:rStyle w:val="Style20"/>
              </w:rPr>
              <w:t>4.12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Оценка и сопоставление заявок</w:t>
            </w:r>
            <w:r>
              <w:rPr>
                <w:webHidden/>
              </w:rPr>
              <w:fldChar w:fldCharType="begin"/>
            </w:r>
            <w:r>
              <w:rPr>
                <w:webHidden/>
              </w:rPr>
              <w:instrText xml:space="preserve">PAGEREF _Toc186224001 \h</w:instrText>
            </w:r>
            <w:r>
              <w:rPr>
                <w:webHidden/>
              </w:rPr>
              <w:fldChar w:fldCharType="separate"/>
            </w:r>
            <w:r>
              <w:rPr>
                <w:rStyle w:val="Style20"/>
                <w:vanish w:val="false"/>
              </w:rPr>
              <w:tab/>
              <w:t>42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2">
            <w:r>
              <w:rPr>
                <w:webHidden/>
                <w:rStyle w:val="Style20"/>
              </w:rPr>
              <w:t>4.13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Применение законодательства о национальном режиме</w:t>
            </w:r>
            <w:r>
              <w:rPr>
                <w:webHidden/>
              </w:rPr>
              <w:fldChar w:fldCharType="begin"/>
            </w:r>
            <w:r>
              <w:rPr>
                <w:webHidden/>
              </w:rPr>
              <w:instrText xml:space="preserve">PAGEREF _Toc186224002 \h</w:instrText>
            </w:r>
            <w:r>
              <w:rPr>
                <w:webHidden/>
              </w:rPr>
              <w:fldChar w:fldCharType="separate"/>
            </w:r>
            <w:r>
              <w:rPr>
                <w:rStyle w:val="Style20"/>
                <w:vanish w:val="false"/>
              </w:rPr>
              <w:tab/>
              <w:t>43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3">
            <w:r>
              <w:rPr>
                <w:webHidden/>
                <w:rStyle w:val="Style20"/>
              </w:rPr>
              <w:t>4.14</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Подведение итогов закупки (определение Победителя)</w:t>
            </w:r>
            <w:r>
              <w:rPr>
                <w:webHidden/>
              </w:rPr>
              <w:fldChar w:fldCharType="begin"/>
            </w:r>
            <w:r>
              <w:rPr>
                <w:webHidden/>
              </w:rPr>
              <w:instrText xml:space="preserve">PAGEREF _Toc186224003 \h</w:instrText>
            </w:r>
            <w:r>
              <w:rPr>
                <w:webHidden/>
              </w:rPr>
              <w:fldChar w:fldCharType="separate"/>
            </w:r>
            <w:r>
              <w:rPr>
                <w:rStyle w:val="Style20"/>
                <w:vanish w:val="false"/>
              </w:rPr>
              <w:tab/>
              <w:t>43</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4">
            <w:r>
              <w:rPr>
                <w:webHidden/>
                <w:rStyle w:val="Style20"/>
              </w:rPr>
              <w:t>4.15</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Признание закупки несостоявшейся</w:t>
            </w:r>
            <w:r>
              <w:rPr>
                <w:webHidden/>
              </w:rPr>
              <w:fldChar w:fldCharType="begin"/>
            </w:r>
            <w:r>
              <w:rPr>
                <w:webHidden/>
              </w:rPr>
              <w:instrText xml:space="preserve">PAGEREF _Toc186224004 \h</w:instrText>
            </w:r>
            <w:r>
              <w:rPr>
                <w:webHidden/>
              </w:rPr>
              <w:fldChar w:fldCharType="separate"/>
            </w:r>
            <w:r>
              <w:rPr>
                <w:rStyle w:val="Style20"/>
                <w:vanish w:val="false"/>
              </w:rPr>
              <w:tab/>
              <w:t>45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5">
            <w:r>
              <w:rPr>
                <w:webHidden/>
                <w:rStyle w:val="Style20"/>
              </w:rPr>
              <w:t>4.16</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Отказ от проведения закупки (отмена закупки)</w:t>
            </w:r>
            <w:r>
              <w:rPr>
                <w:webHidden/>
              </w:rPr>
              <w:fldChar w:fldCharType="begin"/>
            </w:r>
            <w:r>
              <w:rPr>
                <w:webHidden/>
              </w:rPr>
              <w:instrText xml:space="preserve">PAGEREF _Toc186224005 \h</w:instrText>
            </w:r>
            <w:r>
              <w:rPr>
                <w:webHidden/>
              </w:rPr>
              <w:fldChar w:fldCharType="separate"/>
            </w:r>
            <w:r>
              <w:rPr>
                <w:rStyle w:val="Style20"/>
                <w:vanish w:val="false"/>
              </w:rPr>
              <w:tab/>
              <w:t>46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6">
            <w:r>
              <w:rPr>
                <w:webHidden/>
                <w:rStyle w:val="Style20"/>
              </w:rPr>
              <w:t>4.17</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Особенности проведения закупки с необходимостью обеспечения заявки</w:t>
            </w:r>
            <w:r>
              <w:rPr>
                <w:webHidden/>
              </w:rPr>
              <w:fldChar w:fldCharType="begin"/>
            </w:r>
            <w:r>
              <w:rPr>
                <w:webHidden/>
              </w:rPr>
              <w:instrText xml:space="preserve">PAGEREF _Toc186224006 \h</w:instrText>
            </w:r>
            <w:r>
              <w:rPr>
                <w:webHidden/>
              </w:rPr>
              <w:fldChar w:fldCharType="separate"/>
            </w:r>
            <w:r>
              <w:rPr>
                <w:rStyle w:val="Style20"/>
                <w:vanish w:val="false"/>
              </w:rPr>
              <w:tab/>
              <w:t>46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7">
            <w:r>
              <w:rPr>
                <w:webHidden/>
                <w:rStyle w:val="Style20"/>
              </w:rPr>
              <w:t>4.18</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Особенности проведения многолотовой закупки</w:t>
            </w:r>
            <w:r>
              <w:rPr>
                <w:webHidden/>
              </w:rPr>
              <w:fldChar w:fldCharType="begin"/>
            </w:r>
            <w:r>
              <w:rPr>
                <w:webHidden/>
              </w:rPr>
              <w:instrText xml:space="preserve">PAGEREF _Toc186224007 \h</w:instrText>
            </w:r>
            <w:r>
              <w:rPr>
                <w:webHidden/>
              </w:rPr>
              <w:fldChar w:fldCharType="separate"/>
            </w:r>
            <w:r>
              <w:rPr>
                <w:rStyle w:val="Style20"/>
                <w:vanish w:val="false"/>
              </w:rPr>
              <w:tab/>
              <w:t>47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08">
            <w:r>
              <w:rPr>
                <w:webHidden/>
                <w:rStyle w:val="Style20"/>
              </w:rPr>
              <w:t>5.</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Порядок заключения Договора</w:t>
            </w:r>
            <w:r>
              <w:rPr>
                <w:webHidden/>
              </w:rPr>
              <w:fldChar w:fldCharType="begin"/>
            </w:r>
            <w:r>
              <w:rPr>
                <w:webHidden/>
              </w:rPr>
              <w:instrText xml:space="preserve">PAGEREF _Toc186224008 \h</w:instrText>
            </w:r>
            <w:r>
              <w:rPr>
                <w:webHidden/>
              </w:rPr>
              <w:fldChar w:fldCharType="separate"/>
            </w:r>
            <w:r>
              <w:rPr>
                <w:rStyle w:val="Style20"/>
                <w:vanish w:val="false"/>
              </w:rPr>
              <w:tab/>
              <w:t>49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09">
            <w:r>
              <w:rPr>
                <w:webHidden/>
                <w:rStyle w:val="Style20"/>
              </w:rPr>
              <w:t>5.1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Общие положения</w:t>
            </w:r>
            <w:r>
              <w:rPr>
                <w:webHidden/>
              </w:rPr>
              <w:fldChar w:fldCharType="begin"/>
            </w:r>
            <w:r>
              <w:rPr>
                <w:webHidden/>
              </w:rPr>
              <w:instrText xml:space="preserve">PAGEREF _Toc186224009 \h</w:instrText>
            </w:r>
            <w:r>
              <w:rPr>
                <w:webHidden/>
              </w:rPr>
              <w:fldChar w:fldCharType="separate"/>
            </w:r>
            <w:r>
              <w:rPr>
                <w:rStyle w:val="Style20"/>
                <w:vanish w:val="false"/>
              </w:rPr>
              <w:tab/>
              <w:t>49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0">
            <w:r>
              <w:rPr>
                <w:webHidden/>
                <w:rStyle w:val="Style20"/>
              </w:rPr>
              <w:t>5.2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Заключение Договора</w:t>
            </w:r>
            <w:r>
              <w:rPr>
                <w:webHidden/>
              </w:rPr>
              <w:fldChar w:fldCharType="begin"/>
            </w:r>
            <w:r>
              <w:rPr>
                <w:webHidden/>
              </w:rPr>
              <w:instrText xml:space="preserve">PAGEREF _Toc186224010 \h</w:instrText>
            </w:r>
            <w:r>
              <w:rPr>
                <w:webHidden/>
              </w:rPr>
              <w:fldChar w:fldCharType="separate"/>
            </w:r>
            <w:r>
              <w:rPr>
                <w:rStyle w:val="Style20"/>
                <w:vanish w:val="false"/>
              </w:rPr>
              <w:tab/>
              <w:t>49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1">
            <w:r>
              <w:rPr>
                <w:webHidden/>
                <w:rStyle w:val="Style20"/>
              </w:rPr>
              <w:t>5.3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Преддоговорные переговоры</w:t>
            </w:r>
            <w:r>
              <w:rPr>
                <w:webHidden/>
              </w:rPr>
              <w:fldChar w:fldCharType="begin"/>
            </w:r>
            <w:r>
              <w:rPr>
                <w:webHidden/>
              </w:rPr>
              <w:instrText xml:space="preserve">PAGEREF _Toc186224011 \h</w:instrText>
            </w:r>
            <w:r>
              <w:rPr>
                <w:webHidden/>
              </w:rPr>
              <w:fldChar w:fldCharType="separate"/>
            </w:r>
            <w:r>
              <w:rPr>
                <w:rStyle w:val="Style20"/>
                <w:vanish w:val="false"/>
              </w:rPr>
              <w:tab/>
              <w:t>51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2">
            <w:r>
              <w:rPr>
                <w:webHidden/>
                <w:rStyle w:val="Style20"/>
              </w:rPr>
              <w:t>5.4</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Уклонение Победителя от заключения Договора</w:t>
            </w:r>
            <w:r>
              <w:rPr>
                <w:webHidden/>
              </w:rPr>
              <w:fldChar w:fldCharType="begin"/>
            </w:r>
            <w:r>
              <w:rPr>
                <w:webHidden/>
              </w:rPr>
              <w:instrText xml:space="preserve">PAGEREF _Toc186224012 \h</w:instrText>
            </w:r>
            <w:r>
              <w:rPr>
                <w:webHidden/>
              </w:rPr>
              <w:fldChar w:fldCharType="separate"/>
            </w:r>
            <w:r>
              <w:rPr>
                <w:rStyle w:val="Style20"/>
                <w:vanish w:val="false"/>
              </w:rPr>
              <w:tab/>
              <w:t>52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13">
            <w:r>
              <w:rPr>
                <w:webHidden/>
                <w:rStyle w:val="Style20"/>
              </w:rPr>
              <w:t>6.</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1 – Технические требования</w:t>
            </w:r>
            <w:r>
              <w:rPr>
                <w:webHidden/>
              </w:rPr>
              <w:fldChar w:fldCharType="begin"/>
            </w:r>
            <w:r>
              <w:rPr>
                <w:webHidden/>
              </w:rPr>
              <w:instrText xml:space="preserve">PAGEREF _Toc186224013 \h</w:instrText>
            </w:r>
            <w:r>
              <w:rPr>
                <w:webHidden/>
              </w:rPr>
              <w:fldChar w:fldCharType="separate"/>
            </w:r>
            <w:r>
              <w:rPr>
                <w:rStyle w:val="Style20"/>
                <w:vanish w:val="false"/>
              </w:rPr>
              <w:tab/>
              <w:t>54</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4">
            <w:r>
              <w:rPr>
                <w:webHidden/>
                <w:rStyle w:val="Style20"/>
              </w:rPr>
              <w:t>6.1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Техническим требованиям</w:t>
            </w:r>
            <w:r>
              <w:rPr>
                <w:webHidden/>
              </w:rPr>
              <w:fldChar w:fldCharType="begin"/>
            </w:r>
            <w:r>
              <w:rPr>
                <w:webHidden/>
              </w:rPr>
              <w:instrText xml:space="preserve">PAGEREF _Toc186224014 \h</w:instrText>
            </w:r>
            <w:r>
              <w:rPr>
                <w:webHidden/>
              </w:rPr>
              <w:fldChar w:fldCharType="separate"/>
            </w:r>
            <w:r>
              <w:rPr>
                <w:rStyle w:val="Style20"/>
                <w:vanish w:val="false"/>
              </w:rPr>
              <w:tab/>
              <w:t>54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15">
            <w:r>
              <w:rPr>
                <w:webHidden/>
                <w:rStyle w:val="Style20"/>
              </w:rPr>
              <w:t>7.</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2 – Проект договора</w:t>
            </w:r>
            <w:r>
              <w:rPr>
                <w:webHidden/>
              </w:rPr>
              <w:fldChar w:fldCharType="begin"/>
            </w:r>
            <w:r>
              <w:rPr>
                <w:webHidden/>
              </w:rPr>
              <w:instrText xml:space="preserve">PAGEREF _Toc186224015 \h</w:instrText>
            </w:r>
            <w:r>
              <w:rPr>
                <w:webHidden/>
              </w:rPr>
              <w:fldChar w:fldCharType="separate"/>
            </w:r>
            <w:r>
              <w:rPr>
                <w:rStyle w:val="Style20"/>
                <w:vanish w:val="false"/>
              </w:rPr>
              <w:tab/>
              <w:t>55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6">
            <w:r>
              <w:rPr>
                <w:webHidden/>
                <w:rStyle w:val="Style20"/>
              </w:rPr>
              <w:t>7.1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Проекту договора</w:t>
            </w:r>
            <w:r>
              <w:rPr>
                <w:webHidden/>
              </w:rPr>
              <w:fldChar w:fldCharType="begin"/>
            </w:r>
            <w:r>
              <w:rPr>
                <w:webHidden/>
              </w:rPr>
              <w:instrText xml:space="preserve">PAGEREF _Toc186224016 \h</w:instrText>
            </w:r>
            <w:r>
              <w:rPr>
                <w:webHidden/>
              </w:rPr>
              <w:fldChar w:fldCharType="separate"/>
            </w:r>
            <w:r>
              <w:rPr>
                <w:rStyle w:val="Style20"/>
                <w:vanish w:val="false"/>
              </w:rPr>
              <w:tab/>
              <w:t>55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17">
            <w:r>
              <w:rPr>
                <w:webHidden/>
                <w:rStyle w:val="Style20"/>
              </w:rPr>
              <w:t>8.</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3 – Требования к Участникам</w:t>
            </w:r>
            <w:r>
              <w:rPr>
                <w:webHidden/>
              </w:rPr>
              <w:fldChar w:fldCharType="begin"/>
            </w:r>
            <w:r>
              <w:rPr>
                <w:webHidden/>
              </w:rPr>
              <w:instrText xml:space="preserve">PAGEREF _Toc186224017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8">
            <w:r>
              <w:rPr>
                <w:webHidden/>
                <w:rStyle w:val="Style20"/>
              </w:rPr>
              <w:t>8.1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требованиям к Участникам</w:t>
            </w:r>
            <w:r>
              <w:rPr>
                <w:webHidden/>
              </w:rPr>
              <w:fldChar w:fldCharType="begin"/>
            </w:r>
            <w:r>
              <w:rPr>
                <w:webHidden/>
              </w:rPr>
              <w:instrText xml:space="preserve">PAGEREF _Toc186224018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19">
            <w:r>
              <w:rPr>
                <w:webHidden/>
                <w:rStyle w:val="Style20"/>
              </w:rPr>
              <w:t>8.2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Обязательные требования</w:t>
            </w:r>
            <w:r>
              <w:rPr>
                <w:webHidden/>
              </w:rPr>
              <w:fldChar w:fldCharType="begin"/>
            </w:r>
            <w:r>
              <w:rPr>
                <w:webHidden/>
              </w:rPr>
              <w:instrText xml:space="preserve">PAGEREF _Toc186224019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0">
            <w:r>
              <w:rPr>
                <w:webHidden/>
                <w:rStyle w:val="Style20"/>
              </w:rPr>
              <w:t>8.3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Специальные требования</w:t>
            </w:r>
            <w:r>
              <w:rPr>
                <w:webHidden/>
              </w:rPr>
              <w:fldChar w:fldCharType="begin"/>
            </w:r>
            <w:r>
              <w:rPr>
                <w:webHidden/>
              </w:rPr>
              <w:instrText xml:space="preserve">PAGEREF _Toc186224020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1">
            <w:r>
              <w:rPr>
                <w:webHidden/>
                <w:rStyle w:val="Style20"/>
              </w:rPr>
              <w:t>8.4</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Квалификационные требования</w:t>
            </w:r>
            <w:r>
              <w:rPr>
                <w:webHidden/>
              </w:rPr>
              <w:fldChar w:fldCharType="begin"/>
            </w:r>
            <w:r>
              <w:rPr>
                <w:webHidden/>
              </w:rPr>
              <w:instrText xml:space="preserve">PAGEREF _Toc186224021 \h</w:instrText>
            </w:r>
            <w:r>
              <w:rPr>
                <w:webHidden/>
              </w:rPr>
              <w:fldChar w:fldCharType="separate"/>
            </w:r>
            <w:r>
              <w:rPr>
                <w:rStyle w:val="Style20"/>
                <w:vanish w:val="false"/>
              </w:rPr>
              <w:tab/>
              <w:t>60</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2">
            <w:r>
              <w:rPr>
                <w:webHidden/>
                <w:rStyle w:val="Style20"/>
              </w:rPr>
              <w:t>8.5</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Дополнительные требования к Коллективным участникам</w:t>
            </w:r>
            <w:r>
              <w:rPr>
                <w:webHidden/>
              </w:rPr>
              <w:fldChar w:fldCharType="begin"/>
            </w:r>
            <w:r>
              <w:rPr>
                <w:webHidden/>
              </w:rPr>
              <w:instrText xml:space="preserve">PAGEREF _Toc186224022 \h</w:instrText>
            </w:r>
            <w:r>
              <w:rPr>
                <w:webHidden/>
              </w:rPr>
              <w:fldChar w:fldCharType="separate"/>
            </w:r>
            <w:r>
              <w:rPr>
                <w:rStyle w:val="Style20"/>
                <w:vanish w:val="false"/>
              </w:rPr>
              <w:tab/>
              <w:t>61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3">
            <w:r>
              <w:rPr>
                <w:webHidden/>
                <w:rStyle w:val="Style20"/>
              </w:rPr>
              <w:t>8.6</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Дополнительные требования к Генеральным подрядчикам</w:t>
            </w:r>
            <w:r>
              <w:rPr>
                <w:webHidden/>
              </w:rPr>
              <w:fldChar w:fldCharType="begin"/>
            </w:r>
            <w:r>
              <w:rPr>
                <w:webHidden/>
              </w:rPr>
              <w:instrText xml:space="preserve">PAGEREF _Toc186224023 \h</w:instrText>
            </w:r>
            <w:r>
              <w:rPr>
                <w:webHidden/>
              </w:rPr>
              <w:fldChar w:fldCharType="separate"/>
            </w:r>
            <w:r>
              <w:rPr>
                <w:rStyle w:val="Style20"/>
                <w:vanish w:val="false"/>
              </w:rPr>
              <w:tab/>
              <w:t>62</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4">
            <w:r>
              <w:rPr>
                <w:webHidden/>
                <w:rStyle w:val="Style20"/>
              </w:rPr>
              <w:t>8.7</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webHidden/>
              </w:rPr>
              <w:fldChar w:fldCharType="begin"/>
            </w:r>
            <w:r>
              <w:rPr>
                <w:webHidden/>
              </w:rPr>
              <w:instrText xml:space="preserve">PAGEREF _Toc186224024 \h</w:instrText>
            </w:r>
            <w:r>
              <w:rPr>
                <w:webHidden/>
              </w:rPr>
              <w:fldChar w:fldCharType="separate"/>
            </w:r>
            <w:r>
              <w:rPr>
                <w:rStyle w:val="Style20"/>
                <w:vanish w:val="false"/>
              </w:rPr>
              <w:tab/>
              <w:t>63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25">
            <w:r>
              <w:rPr>
                <w:webHidden/>
                <w:rStyle w:val="Style20"/>
              </w:rPr>
              <w:t>9.</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4 – Образцы форм документов, включаемых в состав заявки</w:t>
            </w:r>
            <w:r>
              <w:rPr>
                <w:webHidden/>
              </w:rPr>
              <w:fldChar w:fldCharType="begin"/>
            </w:r>
            <w:r>
              <w:rPr>
                <w:webHidden/>
              </w:rPr>
              <w:instrText xml:space="preserve">PAGEREF _Toc186224025 \h</w:instrText>
            </w:r>
            <w:r>
              <w:rPr>
                <w:webHidden/>
              </w:rPr>
              <w:fldChar w:fldCharType="separate"/>
            </w:r>
            <w:r>
              <w:rPr>
                <w:rStyle w:val="Style20"/>
                <w:vanish w:val="false"/>
              </w:rPr>
              <w:tab/>
              <w:t>65</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6">
            <w:r>
              <w:rPr>
                <w:webHidden/>
                <w:rStyle w:val="Style20"/>
              </w:rPr>
              <w:t>9.1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Образцам форм документов, включаемых в состав заявки</w:t>
            </w:r>
            <w:r>
              <w:rPr>
                <w:webHidden/>
              </w:rPr>
              <w:fldChar w:fldCharType="begin"/>
            </w:r>
            <w:r>
              <w:rPr>
                <w:webHidden/>
              </w:rPr>
              <w:instrText xml:space="preserve">PAGEREF _Toc186224026 \h</w:instrText>
            </w:r>
            <w:r>
              <w:rPr>
                <w:webHidden/>
              </w:rPr>
              <w:fldChar w:fldCharType="separate"/>
            </w:r>
            <w:r>
              <w:rPr>
                <w:rStyle w:val="Style20"/>
                <w:vanish w:val="false"/>
              </w:rPr>
              <w:tab/>
              <w:t>65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27">
            <w:r>
              <w:rPr>
                <w:webHidden/>
                <w:rStyle w:val="Style20"/>
              </w:rPr>
              <w:t>10.</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5 – Образцы форм документов, предоставляемых Победителем</w:t>
            </w:r>
            <w:r>
              <w:rPr>
                <w:webHidden/>
              </w:rPr>
              <w:fldChar w:fldCharType="begin"/>
            </w:r>
            <w:r>
              <w:rPr>
                <w:webHidden/>
              </w:rPr>
              <w:instrText xml:space="preserve">PAGEREF _Toc186224027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8">
            <w:r>
              <w:rPr>
                <w:webHidden/>
                <w:rStyle w:val="Style20"/>
              </w:rPr>
              <w:t>10.1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Образцам форм документов, предоставляемых Победителем</w:t>
            </w:r>
            <w:r>
              <w:rPr>
                <w:webHidden/>
              </w:rPr>
              <w:fldChar w:fldCharType="begin"/>
            </w:r>
            <w:r>
              <w:rPr>
                <w:webHidden/>
              </w:rPr>
              <w:instrText xml:space="preserve">PAGEREF _Toc186224028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29">
            <w:r>
              <w:rPr>
                <w:webHidden/>
                <w:rStyle w:val="Style20"/>
              </w:rPr>
              <w:t>10.2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_Toc186224029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30">
            <w:r>
              <w:rPr>
                <w:webHidden/>
                <w:rStyle w:val="Style20"/>
              </w:rPr>
              <w:t>10.3</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Форма «Заверение об обстоятельствах»</w:t>
            </w:r>
            <w:r>
              <w:rPr>
                <w:webHidden/>
              </w:rPr>
              <w:fldChar w:fldCharType="begin"/>
            </w:r>
            <w:r>
              <w:rPr>
                <w:webHidden/>
              </w:rPr>
              <w:instrText xml:space="preserve">PAGEREF _Toc186224030 \h</w:instrText>
            </w:r>
            <w:r>
              <w:rPr>
                <w:webHidden/>
              </w:rPr>
              <w:fldChar w:fldCharType="separate"/>
            </w:r>
            <w:r>
              <w:rPr>
                <w:rStyle w:val="Style20"/>
                <w:vanish w:val="false"/>
              </w:rPr>
              <w:tab/>
              <w:t>66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31">
            <w:r>
              <w:rPr>
                <w:webHidden/>
                <w:rStyle w:val="Style20"/>
              </w:rPr>
              <w:t>11.</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6 – Состав заявки</w:t>
            </w:r>
            <w:r>
              <w:rPr>
                <w:webHidden/>
              </w:rPr>
              <w:fldChar w:fldCharType="begin"/>
            </w:r>
            <w:r>
              <w:rPr>
                <w:webHidden/>
              </w:rPr>
              <w:instrText xml:space="preserve">PAGEREF _Toc186224031 \h</w:instrText>
            </w:r>
            <w:r>
              <w:rPr>
                <w:webHidden/>
              </w:rPr>
              <w:fldChar w:fldCharType="separate"/>
            </w:r>
            <w:r>
              <w:rPr>
                <w:rStyle w:val="Style20"/>
                <w:vanish w:val="false"/>
              </w:rPr>
              <w:tab/>
              <w:t>68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32">
            <w:r>
              <w:rPr>
                <w:webHidden/>
                <w:rStyle w:val="Style20"/>
              </w:rPr>
              <w:t>11.1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Состав заявки</w:t>
            </w:r>
            <w:r>
              <w:rPr>
                <w:webHidden/>
              </w:rPr>
              <w:fldChar w:fldCharType="begin"/>
            </w:r>
            <w:r>
              <w:rPr>
                <w:webHidden/>
              </w:rPr>
              <w:instrText xml:space="preserve">PAGEREF _Toc186224032 \h</w:instrText>
            </w:r>
            <w:r>
              <w:rPr>
                <w:webHidden/>
              </w:rPr>
              <w:fldChar w:fldCharType="separate"/>
            </w:r>
            <w:r>
              <w:rPr>
                <w:rStyle w:val="Style20"/>
                <w:vanish w:val="false"/>
              </w:rPr>
              <w:tab/>
              <w:t>68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33">
            <w:r>
              <w:rPr>
                <w:webHidden/>
                <w:rStyle w:val="Style20"/>
              </w:rPr>
              <w:t>12.</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7 – Отборочные критерии рассмотрения заявок</w:t>
            </w:r>
            <w:r>
              <w:rPr>
                <w:webHidden/>
              </w:rPr>
              <w:fldChar w:fldCharType="begin"/>
            </w:r>
            <w:r>
              <w:rPr>
                <w:webHidden/>
              </w:rPr>
              <w:instrText xml:space="preserve">PAGEREF _Toc186224033 \h</w:instrText>
            </w:r>
            <w:r>
              <w:rPr>
                <w:webHidden/>
              </w:rPr>
              <w:fldChar w:fldCharType="separate"/>
            </w:r>
            <w:r>
              <w:rPr>
                <w:rStyle w:val="Style20"/>
                <w:vanish w:val="false"/>
              </w:rPr>
              <w:tab/>
              <w:t>71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34">
            <w:r>
              <w:rPr>
                <w:webHidden/>
                <w:rStyle w:val="Style20"/>
              </w:rPr>
              <w:t>12.1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Отборочные критерии рассмотрения заявок</w:t>
            </w:r>
            <w:r>
              <w:rPr>
                <w:webHidden/>
              </w:rPr>
              <w:fldChar w:fldCharType="begin"/>
            </w:r>
            <w:r>
              <w:rPr>
                <w:webHidden/>
              </w:rPr>
              <w:instrText xml:space="preserve">PAGEREF _Toc186224034 \h</w:instrText>
            </w:r>
            <w:r>
              <w:rPr>
                <w:webHidden/>
              </w:rPr>
              <w:fldChar w:fldCharType="separate"/>
            </w:r>
            <w:r>
              <w:rPr>
                <w:rStyle w:val="Style20"/>
                <w:vanish w:val="false"/>
              </w:rPr>
              <w:tab/>
              <w:t>71</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35">
            <w:r>
              <w:rPr>
                <w:webHidden/>
                <w:rStyle w:val="Style20"/>
              </w:rPr>
              <w:t>12.2</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_Toc186224035 \h</w:instrText>
            </w:r>
            <w:r>
              <w:rPr>
                <w:webHidden/>
              </w:rPr>
              <w:fldChar w:fldCharType="separate"/>
            </w:r>
            <w:r>
              <w:rPr>
                <w:rStyle w:val="Style20"/>
                <w:vanish w:val="false"/>
              </w:rPr>
              <w:tab/>
              <w:t>76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36">
            <w:r>
              <w:rPr>
                <w:webHidden/>
                <w:rStyle w:val="Style20"/>
              </w:rPr>
              <w:t>13.</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8 – Порядок и критерии оценки и сопоставления заявок</w:t>
            </w:r>
            <w:r>
              <w:rPr>
                <w:webHidden/>
              </w:rPr>
              <w:fldChar w:fldCharType="begin"/>
            </w:r>
            <w:r>
              <w:rPr>
                <w:webHidden/>
              </w:rPr>
              <w:instrText xml:space="preserve">PAGEREF _Toc186224036 \h</w:instrText>
            </w:r>
            <w:r>
              <w:rPr>
                <w:webHidden/>
              </w:rPr>
              <w:fldChar w:fldCharType="separate"/>
            </w:r>
            <w:r>
              <w:rPr>
                <w:rStyle w:val="Style20"/>
                <w:vanish w:val="false"/>
              </w:rPr>
              <w:tab/>
              <w:t>78</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37">
            <w:r>
              <w:rPr>
                <w:webHidden/>
                <w:rStyle w:val="Style20"/>
              </w:rPr>
              <w:t>13.1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_Toc186224037 \h</w:instrText>
            </w:r>
            <w:r>
              <w:rPr>
                <w:webHidden/>
              </w:rPr>
              <w:fldChar w:fldCharType="separate"/>
            </w:r>
            <w:r>
              <w:rPr>
                <w:rStyle w:val="Style20"/>
                <w:vanish w:val="false"/>
              </w:rPr>
              <w:tab/>
              <w:t>78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38">
            <w:r>
              <w:rPr>
                <w:webHidden/>
                <w:rStyle w:val="Style20"/>
              </w:rPr>
              <w:t>14.</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9 – Обоснование НМЦ</w:t>
            </w:r>
            <w:r>
              <w:rPr>
                <w:webHidden/>
              </w:rPr>
              <w:fldChar w:fldCharType="begin"/>
            </w:r>
            <w:r>
              <w:rPr>
                <w:webHidden/>
              </w:rPr>
              <w:instrText xml:space="preserve">PAGEREF _Toc186224038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39">
            <w:r>
              <w:rPr>
                <w:webHidden/>
                <w:rStyle w:val="Style20"/>
              </w:rPr>
              <w:t>14.1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Обоснованию НМЦ</w:t>
            </w:r>
            <w:r>
              <w:rPr>
                <w:webHidden/>
              </w:rPr>
              <w:fldChar w:fldCharType="begin"/>
            </w:r>
            <w:r>
              <w:rPr>
                <w:webHidden/>
              </w:rPr>
              <w:instrText xml:space="preserve">PAGEREF _Toc186224039 \h</w:instrText>
            </w:r>
            <w:r>
              <w:rPr>
                <w:webHidden/>
              </w:rPr>
              <w:fldChar w:fldCharType="separate"/>
            </w:r>
            <w:r>
              <w:rPr>
                <w:rStyle w:val="Style20"/>
                <w:vanish w:val="false"/>
              </w:rPr>
              <w:tab/>
              <w:t>79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2"/>
              <w:lang w:eastAsia="ru-RU"/>
              <w14:ligatures w14:val="standardContextual"/>
            </w:rPr>
          </w:pPr>
          <w:hyperlink w:anchor="_Toc186224040">
            <w:r>
              <w:rPr>
                <w:webHidden/>
                <w:rStyle w:val="Style20"/>
              </w:rPr>
              <w:t>15.</w:t>
            </w:r>
            <w:r>
              <w:rPr>
                <w:rStyle w:val="Style20"/>
                <w:rFonts w:eastAsia="" w:ascii="Calibri" w:hAnsi="Calibri" w:asciiTheme="minorHAnsi" w:eastAsiaTheme="minorEastAsia" w:hAnsiTheme="minorHAnsi"/>
                <w:b w:val="false"/>
                <w:caps w:val="false"/>
                <w:smallCaps w:val="false"/>
                <w:kern w:val="2"/>
                <w:sz w:val="22"/>
                <w:lang w:eastAsia="ru-RU"/>
                <w14:ligatures w14:val="standardContextual"/>
              </w:rPr>
              <w:tab/>
            </w:r>
            <w:r>
              <w:rPr>
                <w:rStyle w:val="Style20"/>
              </w:rPr>
              <w:t>Приложение № 10 – Форма Заявки на аккредитацию</w:t>
            </w:r>
            <w:r>
              <w:rPr>
                <w:webHidden/>
              </w:rPr>
              <w:fldChar w:fldCharType="begin"/>
            </w:r>
            <w:r>
              <w:rPr>
                <w:webHidden/>
              </w:rPr>
              <w:instrText xml:space="preserve">PAGEREF _Toc186224040 \h</w:instrText>
            </w:r>
            <w:r>
              <w:rPr>
                <w:webHidden/>
              </w:rPr>
              <w:fldChar w:fldCharType="separate"/>
            </w:r>
            <w:r>
              <w:rPr>
                <w:rStyle w:val="Style20"/>
                <w:vanish w:val="false"/>
              </w:rPr>
              <w:tab/>
              <w:t>80</w:t>
            </w:r>
            <w:r>
              <w:rPr>
                <w:webHidden/>
              </w:rPr>
              <w:fldChar w:fldCharType="end"/>
            </w:r>
          </w:hyperlink>
        </w:p>
        <w:p>
          <w:pPr>
            <w:pStyle w:val="TOC2"/>
            <w:rPr>
              <w:rFonts w:ascii="Calibri" w:hAnsi="Calibri" w:eastAsia="" w:asciiTheme="minorHAnsi" w:eastAsiaTheme="minorEastAsia" w:hAnsiTheme="minorHAnsi"/>
              <w:kern w:val="2"/>
              <w:sz w:val="22"/>
              <w:lang w:eastAsia="ru-RU"/>
              <w14:ligatures w14:val="standardContextual"/>
            </w:rPr>
          </w:pPr>
          <w:hyperlink w:anchor="_Toc186224041">
            <w:r>
              <w:rPr>
                <w:webHidden/>
                <w:rStyle w:val="Style20"/>
              </w:rPr>
              <w:t>15.1</w:t>
            </w:r>
            <w:r>
              <w:rPr>
                <w:rStyle w:val="Style20"/>
                <w:rFonts w:eastAsia="" w:ascii="Calibri" w:hAnsi="Calibri" w:asciiTheme="minorHAnsi" w:eastAsiaTheme="minorEastAsia" w:hAnsiTheme="minorHAnsi"/>
                <w:kern w:val="2"/>
                <w:sz w:val="22"/>
                <w:lang w:eastAsia="ru-RU"/>
                <w14:ligatures w14:val="standardContextual"/>
              </w:rPr>
              <w:tab/>
            </w:r>
            <w:r>
              <w:rPr>
                <w:rStyle w:val="Style20"/>
              </w:rPr>
              <w:t>Пояснения к форме Заявки на аккредитацию</w:t>
            </w:r>
            <w:r>
              <w:rPr>
                <w:webHidden/>
              </w:rPr>
              <w:fldChar w:fldCharType="begin"/>
            </w:r>
            <w:r>
              <w:rPr>
                <w:webHidden/>
              </w:rPr>
              <w:instrText xml:space="preserve">PAGEREF _Toc186224041 \h</w:instrText>
            </w:r>
            <w:r>
              <w:rPr>
                <w:webHidden/>
              </w:rPr>
              <w:fldChar w:fldCharType="separate"/>
            </w:r>
            <w:r>
              <w:rPr>
                <w:rStyle w:val="Style20"/>
                <w:vanish w:val="false"/>
              </w:rPr>
              <w:tab/>
              <w:t>80</w:t>
            </w:r>
            <w:r>
              <w:rPr>
                <w:webHidden/>
              </w:rPr>
              <w:fldChar w:fldCharType="end"/>
            </w:r>
          </w:hyperlink>
          <w:r>
            <w:rPr>
              <w:rStyle w:val="Style20"/>
              <w:vanish w:val="false"/>
            </w:rPr>
            <w:fldChar w:fldCharType="end"/>
          </w:r>
        </w:p>
      </w:sdtContent>
    </w:sdt>
    <w:p>
      <w:pPr>
        <w:pStyle w:val="Style30"/>
        <w:jc w:val="both"/>
        <w:rPr/>
      </w:pPr>
      <w:r>
        <w:rPr/>
      </w:r>
    </w:p>
    <w:p>
      <w:pPr>
        <w:pStyle w:val="Style30"/>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0"/>
        <w:numPr>
          <w:ilvl w:val="0"/>
          <w:numId w:val="12"/>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0"/>
        <w:numPr>
          <w:ilvl w:val="0"/>
          <w:numId w:val="12"/>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0"/>
        <w:numPr>
          <w:ilvl w:val="0"/>
          <w:numId w:val="12"/>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0"/>
        <w:numPr>
          <w:ilvl w:val="0"/>
          <w:numId w:val="12"/>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29"/>
        <w:numPr>
          <w:ilvl w:val="0"/>
          <w:numId w:val="0"/>
        </w:numPr>
        <w:outlineLvl w:val="0"/>
        <w:rPr/>
      </w:pPr>
      <w:bookmarkStart w:id="2" w:name="_Toc186223973"/>
      <w:r>
        <w:rPr/>
        <w:t>Сокращения</w:t>
      </w:r>
      <w:bookmarkEnd w:id="2"/>
    </w:p>
    <w:p>
      <w:pPr>
        <w:pStyle w:val="Style30"/>
        <w:ind w:firstLine="567"/>
        <w:rPr/>
      </w:pPr>
      <w:r>
        <w:rPr>
          <w:b/>
          <w:bCs/>
        </w:rPr>
        <w:t>ГК РФ</w:t>
      </w:r>
      <w:r>
        <w:rPr/>
        <w:t xml:space="preserve"> – Гражданской кодекс Российской Федерации.</w:t>
      </w:r>
    </w:p>
    <w:p>
      <w:pPr>
        <w:pStyle w:val="Style30"/>
        <w:ind w:firstLine="567"/>
        <w:rPr/>
      </w:pPr>
      <w:r>
        <w:rPr>
          <w:b/>
          <w:bCs/>
        </w:rPr>
        <w:t>ЕГРИП</w:t>
      </w:r>
      <w:r>
        <w:rPr/>
        <w:t xml:space="preserve"> – Единый государственный реестр индивидуальных предпринимателей.</w:t>
      </w:r>
    </w:p>
    <w:p>
      <w:pPr>
        <w:pStyle w:val="Style30"/>
        <w:ind w:firstLine="567"/>
        <w:rPr/>
      </w:pPr>
      <w:r>
        <w:rPr>
          <w:b/>
          <w:bCs/>
        </w:rPr>
        <w:t>ЕГРЮЛ</w:t>
      </w:r>
      <w:r>
        <w:rPr/>
        <w:t xml:space="preserve"> – Единый государственный реестр юридических лиц.</w:t>
      </w:r>
    </w:p>
    <w:p>
      <w:pPr>
        <w:pStyle w:val="Style30"/>
        <w:ind w:firstLine="567"/>
        <w:rPr/>
      </w:pPr>
      <w:r>
        <w:rPr>
          <w:b/>
          <w:bCs/>
        </w:rPr>
        <w:t>ЕИС</w:t>
      </w:r>
      <w:r>
        <w:rPr/>
        <w:t xml:space="preserve"> – Единая информационная система в сфере закупок.</w:t>
      </w:r>
    </w:p>
    <w:p>
      <w:pPr>
        <w:pStyle w:val="Style30"/>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0"/>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0"/>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0"/>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0"/>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0"/>
        <w:ind w:firstLine="567"/>
        <w:rPr/>
      </w:pPr>
      <w:r>
        <w:rPr>
          <w:b/>
          <w:bCs/>
        </w:rPr>
        <w:t>Извещение</w:t>
      </w:r>
      <w:r>
        <w:rPr/>
        <w:t xml:space="preserve"> – извещение о проведении настоящей закупки.</w:t>
      </w:r>
    </w:p>
    <w:p>
      <w:pPr>
        <w:pStyle w:val="Style30"/>
        <w:ind w:firstLine="567"/>
        <w:rPr/>
      </w:pPr>
      <w:r>
        <w:rPr>
          <w:b/>
          <w:bCs/>
        </w:rPr>
        <w:t>ИНН</w:t>
      </w:r>
      <w:r>
        <w:rPr/>
        <w:t xml:space="preserve"> – идентификационный номер налогоплательщика.</w:t>
      </w:r>
    </w:p>
    <w:p>
      <w:pPr>
        <w:pStyle w:val="Style30"/>
        <w:ind w:firstLine="567"/>
        <w:rPr/>
      </w:pPr>
      <w:r>
        <w:rPr>
          <w:b/>
          <w:bCs/>
        </w:rPr>
        <w:t>ИФНС</w:t>
      </w:r>
      <w:r>
        <w:rPr/>
        <w:t xml:space="preserve"> – инспекция Федеральной налоговой службы Российской Федерации.</w:t>
      </w:r>
    </w:p>
    <w:p>
      <w:pPr>
        <w:pStyle w:val="Style30"/>
        <w:ind w:firstLine="567"/>
        <w:rPr/>
      </w:pPr>
      <w:r>
        <w:rPr>
          <w:b/>
          <w:bCs/>
        </w:rPr>
        <w:t>МТР</w:t>
      </w:r>
      <w:r>
        <w:rPr/>
        <w:t xml:space="preserve"> – материально-технические ресурсы.</w:t>
      </w:r>
    </w:p>
    <w:p>
      <w:pPr>
        <w:pStyle w:val="Style30"/>
        <w:ind w:firstLine="567"/>
        <w:rPr/>
      </w:pPr>
      <w:r>
        <w:rPr>
          <w:b/>
          <w:bCs/>
        </w:rPr>
        <w:t>НДС</w:t>
      </w:r>
      <w:r>
        <w:rPr/>
        <w:t xml:space="preserve"> – налог на добавленную стоимость.</w:t>
      </w:r>
    </w:p>
    <w:p>
      <w:pPr>
        <w:pStyle w:val="Style30"/>
        <w:ind w:firstLine="567"/>
        <w:rPr/>
      </w:pPr>
      <w:r>
        <w:rPr>
          <w:b/>
          <w:bCs/>
        </w:rPr>
        <w:t>НМЦ</w:t>
      </w:r>
      <w:r>
        <w:rPr/>
        <w:t xml:space="preserve"> – начальная (максимальная) цена договора.</w:t>
      </w:r>
    </w:p>
    <w:p>
      <w:pPr>
        <w:pStyle w:val="Style30"/>
        <w:ind w:firstLine="567"/>
        <w:rPr/>
      </w:pPr>
      <w:r>
        <w:rPr>
          <w:b/>
          <w:bCs/>
        </w:rPr>
        <w:t>Оператор ЭП</w:t>
      </w:r>
      <w:r>
        <w:rPr/>
        <w:t xml:space="preserve"> – оператор электронной площадки.</w:t>
      </w:r>
    </w:p>
    <w:p>
      <w:pPr>
        <w:pStyle w:val="Style30"/>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0"/>
        <w:ind w:firstLine="567"/>
        <w:rPr/>
      </w:pPr>
      <w:r>
        <w:rPr>
          <w:b/>
          <w:bCs/>
        </w:rPr>
        <w:t>Положение о закупке</w:t>
      </w:r>
      <w:r>
        <w:rPr/>
        <w:t xml:space="preserve"> – Единое Положение о закупке продукции для нужд Группы РусГидро.</w:t>
      </w:r>
    </w:p>
    <w:p>
      <w:pPr>
        <w:pStyle w:val="Style30"/>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0"/>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30"/>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0"/>
        <w:ind w:firstLine="567"/>
        <w:rPr/>
      </w:pPr>
      <w:r>
        <w:rPr>
          <w:b/>
          <w:bCs/>
        </w:rPr>
        <w:t>ПП 1875</w:t>
      </w:r>
      <w:r>
        <w:rPr/>
        <w:t xml:space="preserve"> – постановление Правительства от 23.12.2024 №</w:t>
      </w:r>
      <w:r>
        <w:rPr>
          <w:lang w:val="en-US"/>
        </w:rPr>
        <w:t> </w:t>
      </w:r>
      <w:r>
        <w:rPr/>
        <w:t>1875 «О мерах по</w:t>
      </w:r>
      <w:r>
        <w:rPr>
          <w:lang w:val="en-US"/>
        </w:rPr>
        <w:t> </w:t>
      </w:r>
      <w:r>
        <w:rPr/>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0"/>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0"/>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0"/>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0"/>
        <w:ind w:firstLine="567"/>
        <w:rPr/>
      </w:pPr>
      <w:r>
        <w:rPr>
          <w:b/>
          <w:bCs/>
        </w:rPr>
        <w:t>Субъект МСП</w:t>
      </w:r>
      <w:r>
        <w:rPr/>
        <w:t xml:space="preserve"> – субъект малого и среднего предпринимательства.</w:t>
      </w:r>
    </w:p>
    <w:p>
      <w:pPr>
        <w:pStyle w:val="Style30"/>
        <w:ind w:firstLine="567"/>
        <w:rPr/>
      </w:pPr>
      <w:r>
        <w:rPr>
          <w:b/>
          <w:bCs/>
        </w:rPr>
        <w:t>ЭП</w:t>
      </w:r>
      <w:r>
        <w:rPr/>
        <w:t xml:space="preserve"> – электронная площадка.</w:t>
      </w:r>
    </w:p>
    <w:p>
      <w:pPr>
        <w:pStyle w:val="Style29"/>
        <w:numPr>
          <w:ilvl w:val="0"/>
          <w:numId w:val="0"/>
        </w:numPr>
        <w:outlineLvl w:val="0"/>
        <w:rPr/>
      </w:pPr>
      <w:bookmarkStart w:id="3" w:name="_Toc186223974"/>
      <w:r>
        <w:rPr/>
        <w:t>Термины и определения</w:t>
      </w:r>
      <w:bookmarkEnd w:id="3"/>
    </w:p>
    <w:p>
      <w:pPr>
        <w:pStyle w:val="Style30"/>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0"/>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0"/>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0"/>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0"/>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0"/>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0"/>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0"/>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0"/>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w:t>
      </w:r>
      <w:r>
        <w:rPr/>
        <w:t>конкурентных закупок – в Извещении и</w:t>
      </w:r>
      <w:r>
        <w:rPr>
          <w:lang w:val="en-US"/>
        </w:rPr>
        <w:t> </w:t>
      </w:r>
      <w:r>
        <w:rPr/>
        <w:t>(или) Документацией о закупке.</w:t>
      </w:r>
    </w:p>
    <w:p>
      <w:pPr>
        <w:pStyle w:val="Style30"/>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0"/>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0"/>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0"/>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30"/>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0"/>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0"/>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0"/>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0"/>
        <w:ind w:firstLine="567"/>
        <w:rPr/>
      </w:pPr>
      <w:r>
        <w:rPr>
          <w:b/>
          <w:bCs/>
        </w:rPr>
        <w:t>Официальное размещение</w:t>
      </w:r>
      <w:r>
        <w:rPr/>
        <w:t xml:space="preserve"> – размещение информации о закупке в ЕИС, на</w:t>
      </w:r>
      <w:r>
        <w:rPr>
          <w:lang w:val="en-US"/>
        </w:rPr>
        <w:t> </w:t>
      </w:r>
      <w:r>
        <w:rPr/>
        <w:t>Официальном сайте (с размещением копий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0"/>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Style w:val="FootnoteReference"/>
          <w:szCs w:val="26"/>
        </w:rPr>
        <w:footnoteReference w:id="3"/>
      </w:r>
      <w:r>
        <w:rPr>
          <w:szCs w:val="26"/>
        </w:rPr>
        <w:t>.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0"/>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0"/>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0"/>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0"/>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lang w:val="en-US"/>
        </w:rPr>
        <w:t> </w:t>
      </w:r>
      <w:r>
        <w:rPr/>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w:t>
      </w:r>
      <w:r>
        <w:rPr/>
        <w:t>соответствии с нормами, установленными законодательством.</w:t>
      </w:r>
    </w:p>
    <w:p>
      <w:pPr>
        <w:pStyle w:val="Style30"/>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0"/>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0"/>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0"/>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4"/>
      </w:r>
      <w:r>
        <w:rPr/>
        <w:t>, если иное не установлено в Документации о закупке.</w:t>
      </w:r>
    </w:p>
    <w:p>
      <w:pPr>
        <w:pStyle w:val="Style30"/>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30"/>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4"/>
        <w:rPr/>
      </w:pPr>
      <w:bookmarkStart w:id="4" w:name="_Toc186223975"/>
      <w:bookmarkStart w:id="5" w:name="_Ref125359988"/>
      <w:r>
        <w:rPr/>
        <w:t>Основные сведения о закупке</w:t>
      </w:r>
      <w:bookmarkEnd w:id="4"/>
      <w:bookmarkEnd w:id="5"/>
    </w:p>
    <w:p>
      <w:pPr>
        <w:pStyle w:val="Style25"/>
        <w:rPr/>
      </w:pPr>
      <w:bookmarkStart w:id="6" w:name="_Toc186223976"/>
      <w:r>
        <w:rPr/>
        <w:t>Статус настоящего раздела</w:t>
      </w:r>
      <w:bookmarkEnd w:id="6"/>
    </w:p>
    <w:p>
      <w:pPr>
        <w:pStyle w:val="Style26"/>
        <w:rPr/>
      </w:pPr>
      <w:r>
        <w:rPr/>
        <w:t>В настоящем разделе содержатся основные сведения о предмете, способе и иных ключевых условиях проводимой закупки.</w:t>
      </w:r>
    </w:p>
    <w:p>
      <w:pPr>
        <w:pStyle w:val="Style26"/>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6"/>
        <w:rPr/>
      </w:pPr>
      <w:bookmarkStart w:id="7"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7"/>
    </w:p>
    <w:p>
      <w:pPr>
        <w:pStyle w:val="Style25"/>
        <w:spacing w:before="360" w:after="120"/>
        <w:rPr/>
      </w:pPr>
      <w:bookmarkStart w:id="8" w:name="_Toc186223977"/>
      <w:bookmarkStart w:id="9" w:name="_Ref127270076"/>
      <w:bookmarkStart w:id="10" w:name="_Ref125359973"/>
      <w:r>
        <w:rPr/>
        <w:t>Информация о проводимой закупке</w:t>
      </w:r>
      <w:bookmarkEnd w:id="8"/>
      <w:bookmarkEnd w:id="9"/>
      <w:bookmarkEnd w:id="10"/>
    </w:p>
    <w:tbl>
      <w:tblPr>
        <w:tblStyle w:val="af4"/>
        <w:tblW w:w="9754"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845"/>
        <w:gridCol w:w="3233"/>
        <w:gridCol w:w="5676"/>
      </w:tblGrid>
      <w:tr>
        <w:trPr>
          <w:cnfStyle w:val="100000000000" w:firstRow="1" w:lastRow="0" w:firstColumn="0" w:lastColumn="0" w:oddVBand="0" w:evenVBand="0" w:oddHBand="0" w:evenHBand="0" w:firstRowFirstColumn="0" w:firstRowLastColumn="0" w:lastRowFirstColumn="0" w:lastRowLastColumn="0"/>
        </w:trPr>
        <w:tc>
          <w:tcPr>
            <w:tcW w:w="845"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3"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1" w:name="_Ref125360980"/>
            <w:bookmarkStart w:id="12" w:name="_Ref125360980"/>
            <w:bookmarkEnd w:id="12"/>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Аукцион в электронной форме.</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3" w:name="_Ref125360996"/>
            <w:bookmarkStart w:id="14" w:name="_Ref125360996"/>
            <w:bookmarkEnd w:id="14"/>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Tableheader"/>
              <w:widowControl w:val="false"/>
              <w:spacing w:before="60" w:after="60"/>
              <w:rPr>
                <w:b w:val="false"/>
                <w:sz w:val="26"/>
                <w:szCs w:val="26"/>
              </w:rPr>
            </w:pPr>
            <w:r>
              <w:rPr>
                <w:b w:val="false"/>
                <w:kern w:val="0"/>
                <w:sz w:val="26"/>
                <w:szCs w:val="26"/>
                <w:lang w:val="ru-RU" w:bidi="ar-SA"/>
              </w:rPr>
              <w:t>Лот № 1 ОКПД2 64.19.21.000. Предоставление кредитной линии для нужд ПАО «Якутскэнерго» (28001-ФИН ФД-2025-ЯЭ)</w:t>
            </w:r>
          </w:p>
          <w:p>
            <w:pPr>
              <w:pStyle w:val="Tableheader"/>
              <w:widowControl w:val="false"/>
              <w:spacing w:before="60" w:after="60"/>
              <w:rPr>
                <w:b w:val="false"/>
                <w:sz w:val="26"/>
                <w:szCs w:val="26"/>
              </w:rPr>
            </w:pPr>
            <w:r>
              <w:rPr>
                <w:b w:val="false"/>
                <w:kern w:val="0"/>
                <w:sz w:val="26"/>
                <w:szCs w:val="26"/>
                <w:lang w:val="ru-RU" w:bidi="ar-SA"/>
              </w:rPr>
              <w:t>Лот № 2 ОКПД2 64.19.21.000. Предоставление кредитной линии для нужд ПАО «Якутскэнерго» (28002-ФИН ФД-2025-ЯЭ)</w:t>
            </w:r>
          </w:p>
          <w:p>
            <w:pPr>
              <w:pStyle w:val="Style30"/>
              <w:widowControl/>
              <w:spacing w:before="60" w:after="60"/>
              <w:rPr>
                <w:rFonts w:ascii="Times New Roman" w:hAnsi="Times New Roman" w:eastAsia="Calibri" w:cs=""/>
                <w:kern w:val="0"/>
                <w:sz w:val="26"/>
                <w:lang w:val="ru-RU" w:eastAsia="en-US" w:bidi="ar-SA"/>
              </w:rPr>
            </w:pPr>
            <w:r>
              <w:rPr>
                <w:rFonts w:eastAsia="Calibri" w:cs=""/>
                <w:kern w:val="0"/>
                <w:sz w:val="26"/>
                <w:szCs w:val="26"/>
                <w:lang w:val="ru-RU" w:eastAsia="en-US" w:bidi="ar-SA"/>
              </w:rPr>
              <w:t>Лот № 3 ОКПД2 64.19.21.000. Предоставление кредитной линии для нужд ПАО «Якутскэнерго» (28003-ФИН ФД-2025-ЯЭ)</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35729276"/>
            <w:bookmarkStart w:id="16" w:name="_Ref135729276"/>
            <w:bookmarkEnd w:id="16"/>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0"/>
              <w:widowControl/>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7124"/>
            <w:bookmarkStart w:id="18" w:name="_Ref125367124"/>
            <w:bookmarkEnd w:id="18"/>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Tableheader"/>
              <w:widowControl w:val="false"/>
              <w:spacing w:before="120" w:after="0"/>
              <w:rPr>
                <w:rFonts w:ascii="Times New Roman" w:hAnsi="Times New Roman"/>
                <w:kern w:val="0"/>
                <w:lang w:val="ru-RU" w:bidi="ar-SA"/>
              </w:rPr>
            </w:pPr>
            <w:r>
              <w:rPr>
                <w:b w:val="false"/>
                <w:kern w:val="0"/>
                <w:sz w:val="26"/>
                <w:szCs w:val="26"/>
                <w:lang w:val="ru-RU" w:bidi="ar-SA"/>
              </w:rPr>
              <w:t xml:space="preserve">Да, 03 (три) лота </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764"/>
            <w:bookmarkStart w:id="20" w:name="_Ref125360764"/>
            <w:bookmarkEnd w:id="20"/>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Normal"/>
              <w:widowControl w:val="false"/>
              <w:spacing w:before="60" w:after="120"/>
              <w:ind w:left="38" w:hanging="0"/>
              <w:jc w:val="left"/>
              <w:rPr>
                <w:b/>
                <w:sz w:val="22"/>
              </w:rPr>
            </w:pPr>
            <w:r>
              <w:rPr>
                <w:rFonts w:eastAsia="Calibri" w:cs=""/>
                <w:kern w:val="0"/>
                <w:sz w:val="26"/>
                <w:szCs w:val="22"/>
                <w:lang w:val="ru-RU" w:eastAsia="en-US" w:bidi="ar-SA"/>
              </w:rPr>
              <w:t>Электронная (торговая) площадка: https://tender.lot-online.ru</w:t>
            </w:r>
            <w:r>
              <w:rPr>
                <w:rFonts w:eastAsia="Calibri" w:cs=""/>
                <w:b/>
                <w:kern w:val="0"/>
                <w:sz w:val="22"/>
                <w:szCs w:val="22"/>
                <w:lang w:val="ru-RU" w:eastAsia="en-US" w:bidi="ar-SA"/>
              </w:rPr>
              <w:t xml:space="preserve"> </w:t>
            </w:r>
          </w:p>
          <w:p>
            <w:pPr>
              <w:pStyle w:val="Normal"/>
              <w:widowControl w:val="false"/>
              <w:spacing w:before="60" w:after="120"/>
              <w:ind w:left="38" w:hanging="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Регламент ЭТП, в соответствии с которым проводится закупка, размещен по адресу:</w:t>
            </w:r>
          </w:p>
          <w:p>
            <w:pPr>
              <w:pStyle w:val="Style30"/>
              <w:widowControl/>
              <w:spacing w:before="60" w:after="60"/>
              <w:rPr/>
            </w:pPr>
            <w:hyperlink r:id="rId4">
              <w:r>
                <w:rPr>
                  <w:rFonts w:eastAsia="Calibri" w:cs=""/>
                  <w:kern w:val="0"/>
                  <w:sz w:val="26"/>
                  <w:szCs w:val="22"/>
                  <w:lang w:val="ru-RU" w:eastAsia="en-US" w:bidi="ar-SA"/>
                </w:rPr>
                <w:t>https://tender.lot-online.ru/app/EtpDocList/page</w:t>
              </w:r>
            </w:hyperlink>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70"/>
            <w:bookmarkStart w:id="22" w:name="_Ref125360970"/>
            <w:bookmarkEnd w:id="22"/>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любые лица, заинтересованные в предмете закупки.</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88"/>
            <w:bookmarkStart w:id="24" w:name="_Ref125360988"/>
            <w:bookmarkEnd w:id="24"/>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Tableheader"/>
              <w:widowControl w:val="false"/>
              <w:spacing w:lineRule="auto" w:line="276" w:before="0" w:after="60"/>
              <w:rPr>
                <w:b w:val="false"/>
                <w:sz w:val="26"/>
                <w:szCs w:val="26"/>
              </w:rPr>
            </w:pPr>
            <w:r>
              <w:rPr>
                <w:b w:val="false"/>
                <w:kern w:val="0"/>
                <w:sz w:val="26"/>
                <w:szCs w:val="26"/>
                <w:lang w:val="ru-RU" w:bidi="ar-SA"/>
              </w:rPr>
              <w:t xml:space="preserve">Наименование (полное и сокращенное): Публичное акционерное общество Якутскэнерго» </w:t>
            </w:r>
          </w:p>
          <w:p>
            <w:pPr>
              <w:pStyle w:val="Tableheader"/>
              <w:widowControl w:val="false"/>
              <w:spacing w:lineRule="auto" w:line="276" w:before="0" w:after="60"/>
              <w:rPr>
                <w:b w:val="false"/>
                <w:sz w:val="26"/>
                <w:szCs w:val="26"/>
              </w:rPr>
            </w:pPr>
            <w:r>
              <w:rPr>
                <w:b w:val="false"/>
                <w:kern w:val="0"/>
                <w:sz w:val="26"/>
                <w:szCs w:val="26"/>
                <w:lang w:val="ru-RU" w:bidi="ar-SA"/>
              </w:rPr>
              <w:t>(далее – ПАО «Якутскэнерго»)</w:t>
            </w:r>
          </w:p>
          <w:p>
            <w:pPr>
              <w:pStyle w:val="Tableheader"/>
              <w:widowControl w:val="false"/>
              <w:spacing w:lineRule="auto" w:line="276" w:before="0" w:after="60"/>
              <w:rPr>
                <w:b w:val="false"/>
                <w:sz w:val="26"/>
                <w:szCs w:val="26"/>
              </w:rPr>
            </w:pPr>
            <w:r>
              <w:rPr>
                <w:b w:val="false"/>
                <w:kern w:val="0"/>
                <w:sz w:val="26"/>
                <w:szCs w:val="26"/>
                <w:lang w:val="ru-RU" w:bidi="ar-SA"/>
              </w:rPr>
              <w:t>Место нахождения: 677001, Республика Саха (Якутия), г. Якутск, ул. Ф. Попова, д. 14</w:t>
            </w:r>
          </w:p>
          <w:p>
            <w:pPr>
              <w:pStyle w:val="Tableheader"/>
              <w:widowControl w:val="false"/>
              <w:spacing w:lineRule="auto" w:line="276" w:before="0" w:after="60"/>
              <w:rPr>
                <w:b w:val="false"/>
                <w:sz w:val="26"/>
                <w:szCs w:val="26"/>
              </w:rPr>
            </w:pPr>
            <w:r>
              <w:rPr>
                <w:b w:val="false"/>
                <w:kern w:val="0"/>
                <w:sz w:val="26"/>
                <w:szCs w:val="26"/>
                <w:lang w:val="ru-RU" w:bidi="ar-SA"/>
              </w:rPr>
              <w:t>Почтовый адрес: 677001, Республика Саха (Якутия), г. Якутск, ул. Ф. Попова, д. 14</w:t>
            </w:r>
          </w:p>
          <w:p>
            <w:pPr>
              <w:pStyle w:val="Tableheader"/>
              <w:widowControl w:val="false"/>
              <w:spacing w:before="60" w:after="60"/>
              <w:rPr>
                <w:b w:val="false"/>
                <w:sz w:val="26"/>
                <w:szCs w:val="26"/>
              </w:rPr>
            </w:pPr>
            <w:r>
              <w:rPr>
                <w:b w:val="false"/>
                <w:kern w:val="0"/>
                <w:sz w:val="26"/>
                <w:szCs w:val="26"/>
                <w:lang w:val="ru-RU" w:bidi="ar-SA"/>
              </w:rPr>
              <w:t xml:space="preserve">Адрес электронной почты: </w:t>
            </w:r>
            <w:hyperlink r:id="rId5">
              <w:r>
                <w:rPr>
                  <w:b w:val="false"/>
                  <w:kern w:val="0"/>
                  <w:sz w:val="26"/>
                  <w:szCs w:val="26"/>
                  <w:lang w:val="ru-RU" w:bidi="ar-SA"/>
                </w:rPr>
                <w:t>inform@yakutskenergo.ru</w:t>
              </w:r>
            </w:hyperlink>
          </w:p>
          <w:p>
            <w:pPr>
              <w:pStyle w:val="Style30"/>
              <w:widowControl/>
              <w:spacing w:before="60" w:after="60"/>
              <w:rPr>
                <w:rFonts w:ascii="Times New Roman" w:hAnsi="Times New Roman" w:eastAsia="Calibri" w:cs=""/>
                <w:kern w:val="0"/>
                <w:sz w:val="26"/>
                <w:lang w:val="ru-RU" w:eastAsia="en-US" w:bidi="ar-SA"/>
              </w:rPr>
            </w:pPr>
            <w:r>
              <w:rPr>
                <w:rFonts w:eastAsia="Calibri" w:cs=""/>
                <w:kern w:val="0"/>
                <w:sz w:val="26"/>
                <w:szCs w:val="26"/>
                <w:lang w:val="ru-RU" w:eastAsia="en-US" w:bidi="ar-SA"/>
              </w:rPr>
              <w:t>Контактный телефон: + 7 (4112) 49-72-25</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0954"/>
            <w:bookmarkStart w:id="26" w:name="_Ref125360954"/>
            <w:bookmarkEnd w:id="26"/>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Tableheader"/>
              <w:widowControl w:val="false"/>
              <w:spacing w:lineRule="auto" w:line="276" w:before="0" w:after="60"/>
              <w:rPr>
                <w:b w:val="false"/>
                <w:sz w:val="26"/>
                <w:szCs w:val="26"/>
              </w:rPr>
            </w:pPr>
            <w:r>
              <w:rPr>
                <w:b w:val="false"/>
                <w:kern w:val="0"/>
                <w:sz w:val="26"/>
                <w:szCs w:val="26"/>
                <w:lang w:val="ru-RU" w:bidi="ar-SA"/>
              </w:rPr>
              <w:t xml:space="preserve">Наименование (полное и сокращенное): Публичное акционерное общество Якутскэнерго» </w:t>
            </w:r>
          </w:p>
          <w:p>
            <w:pPr>
              <w:pStyle w:val="Tableheader"/>
              <w:widowControl w:val="false"/>
              <w:spacing w:lineRule="auto" w:line="276" w:before="0" w:after="60"/>
              <w:rPr>
                <w:b w:val="false"/>
                <w:sz w:val="26"/>
                <w:szCs w:val="26"/>
              </w:rPr>
            </w:pPr>
            <w:r>
              <w:rPr>
                <w:b w:val="false"/>
                <w:kern w:val="0"/>
                <w:sz w:val="26"/>
                <w:szCs w:val="26"/>
                <w:lang w:val="ru-RU" w:bidi="ar-SA"/>
              </w:rPr>
              <w:t>(далее – ПАО «Якутскэнерго»)</w:t>
            </w:r>
          </w:p>
          <w:p>
            <w:pPr>
              <w:pStyle w:val="Tableheader"/>
              <w:widowControl w:val="false"/>
              <w:spacing w:lineRule="auto" w:line="276" w:before="0" w:after="60"/>
              <w:rPr>
                <w:b w:val="false"/>
                <w:sz w:val="26"/>
                <w:szCs w:val="26"/>
              </w:rPr>
            </w:pPr>
            <w:r>
              <w:rPr>
                <w:b w:val="false"/>
                <w:kern w:val="0"/>
                <w:sz w:val="26"/>
                <w:szCs w:val="26"/>
                <w:lang w:val="ru-RU" w:bidi="ar-SA"/>
              </w:rPr>
              <w:t>Место нахождения: 677001, Республика Саха (Якутия), г. Якутск, ул. Ф. Попова, д. 14</w:t>
            </w:r>
          </w:p>
          <w:p>
            <w:pPr>
              <w:pStyle w:val="Tableheader"/>
              <w:widowControl w:val="false"/>
              <w:spacing w:lineRule="auto" w:line="276" w:before="0" w:after="60"/>
              <w:rPr>
                <w:b w:val="false"/>
                <w:sz w:val="26"/>
                <w:szCs w:val="26"/>
              </w:rPr>
            </w:pPr>
            <w:r>
              <w:rPr>
                <w:b w:val="false"/>
                <w:kern w:val="0"/>
                <w:sz w:val="26"/>
                <w:szCs w:val="26"/>
                <w:lang w:val="ru-RU" w:bidi="ar-SA"/>
              </w:rPr>
              <w:t>Почтовый адрес: 677001, Республика Саха (Якутия), г. Якутск, ул. Ф. Попова, д. 14</w:t>
            </w:r>
          </w:p>
          <w:p>
            <w:pPr>
              <w:pStyle w:val="Tableheader"/>
              <w:widowControl w:val="false"/>
              <w:spacing w:before="60" w:after="60"/>
              <w:rPr>
                <w:b w:val="false"/>
                <w:sz w:val="26"/>
                <w:szCs w:val="26"/>
              </w:rPr>
            </w:pPr>
            <w:r>
              <w:rPr>
                <w:b w:val="false"/>
                <w:kern w:val="0"/>
                <w:sz w:val="26"/>
                <w:szCs w:val="26"/>
                <w:lang w:val="ru-RU" w:bidi="ar-SA"/>
              </w:rPr>
              <w:t xml:space="preserve">Адрес электронной почты: </w:t>
            </w:r>
            <w:hyperlink r:id="rId6">
              <w:r>
                <w:rPr>
                  <w:b w:val="false"/>
                  <w:kern w:val="0"/>
                  <w:sz w:val="26"/>
                  <w:szCs w:val="26"/>
                  <w:lang w:val="ru-RU" w:bidi="ar-SA"/>
                </w:rPr>
                <w:t>inform@yakutskenergo.ru</w:t>
              </w:r>
            </w:hyperlink>
          </w:p>
          <w:p>
            <w:pPr>
              <w:pStyle w:val="Style30"/>
              <w:widowControl/>
              <w:spacing w:before="60" w:after="60"/>
              <w:rPr>
                <w:rFonts w:ascii="Times New Roman" w:hAnsi="Times New Roman" w:eastAsia="Calibri" w:cs=""/>
                <w:kern w:val="0"/>
                <w:sz w:val="26"/>
                <w:lang w:val="ru-RU" w:eastAsia="en-US" w:bidi="ar-SA"/>
              </w:rPr>
            </w:pPr>
            <w:r>
              <w:rPr>
                <w:rFonts w:eastAsia="Calibri" w:cs=""/>
                <w:kern w:val="0"/>
                <w:sz w:val="26"/>
                <w:szCs w:val="26"/>
                <w:lang w:val="ru-RU" w:eastAsia="en-US" w:bidi="ar-SA"/>
              </w:rPr>
              <w:t>Контактный телефон: + 7 (4112) 49-72-25</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1238"/>
            <w:bookmarkStart w:id="28" w:name="_Ref125361238"/>
            <w:bookmarkEnd w:id="28"/>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Tableheader"/>
              <w:widowControl w:val="false"/>
              <w:spacing w:before="60" w:after="120"/>
              <w:rPr>
                <w:b w:val="false"/>
                <w:sz w:val="26"/>
                <w:szCs w:val="26"/>
              </w:rPr>
            </w:pPr>
            <w:r>
              <w:rPr>
                <w:b w:val="false"/>
                <w:kern w:val="0"/>
                <w:sz w:val="26"/>
                <w:szCs w:val="26"/>
                <w:lang w:val="ru-RU" w:bidi="ar-SA"/>
              </w:rPr>
              <w:t>Контактное лицо (Ф.И.О.): Бутакова Мария Алексеевна</w:t>
            </w:r>
          </w:p>
          <w:p>
            <w:pPr>
              <w:pStyle w:val="Tableheader"/>
              <w:widowControl w:val="false"/>
              <w:spacing w:before="60" w:after="120"/>
              <w:jc w:val="left"/>
              <w:rPr>
                <w:b w:val="false"/>
                <w:sz w:val="26"/>
                <w:szCs w:val="26"/>
              </w:rPr>
            </w:pPr>
            <w:r>
              <w:rPr>
                <w:b w:val="false"/>
                <w:kern w:val="0"/>
                <w:sz w:val="26"/>
                <w:szCs w:val="26"/>
                <w:lang w:val="ru-RU" w:bidi="ar-SA"/>
              </w:rPr>
              <w:t xml:space="preserve">Контактный телефон: (4112) 49-72-25 </w:t>
            </w:r>
          </w:p>
          <w:p>
            <w:pPr>
              <w:pStyle w:val="Style30"/>
              <w:widowControl/>
              <w:spacing w:before="60" w:after="60"/>
              <w:rPr>
                <w:szCs w:val="26"/>
              </w:rPr>
            </w:pPr>
            <w:r>
              <w:rPr>
                <w:rFonts w:eastAsia="Calibri" w:cs=""/>
                <w:kern w:val="0"/>
                <w:sz w:val="26"/>
                <w:szCs w:val="26"/>
                <w:lang w:val="ru-RU" w:eastAsia="en-US" w:bidi="ar-SA"/>
              </w:rPr>
              <w:t xml:space="preserve">Адрес электронной почты: </w:t>
            </w:r>
          </w:p>
          <w:p>
            <w:pPr>
              <w:pStyle w:val="Style30"/>
              <w:widowControl/>
              <w:spacing w:before="60" w:after="60"/>
              <w:rPr/>
            </w:pPr>
            <w:r>
              <w:rPr>
                <w:rStyle w:val="Hyperlink"/>
                <w:rFonts w:eastAsia="Calibri" w:cs=""/>
                <w:kern w:val="0"/>
                <w:sz w:val="26"/>
                <w:szCs w:val="26"/>
                <w:lang w:val="en-US" w:eastAsia="en-US" w:bidi="ar-SA"/>
              </w:rPr>
              <w:t>butakov</w:t>
            </w:r>
            <w:r>
              <w:rPr>
                <w:rStyle w:val="Hyperlink"/>
                <w:rFonts w:eastAsia="Calibri" w:cs=""/>
                <w:kern w:val="0"/>
                <w:sz w:val="26"/>
                <w:szCs w:val="26"/>
                <w:lang w:val="ru-RU" w:eastAsia="en-US" w:bidi="ar-SA"/>
              </w:rPr>
              <w:t>-</w:t>
            </w:r>
            <w:r>
              <w:rPr>
                <w:rStyle w:val="Hyperlink"/>
                <w:rFonts w:eastAsia="Calibri" w:cs=""/>
                <w:kern w:val="0"/>
                <w:sz w:val="26"/>
                <w:szCs w:val="26"/>
                <w:lang w:val="en-US" w:eastAsia="en-US" w:bidi="ar-SA"/>
              </w:rPr>
              <w:t>ma</w:t>
            </w:r>
            <w:r>
              <w:rPr>
                <w:rStyle w:val="Hyperlink"/>
                <w:rFonts w:eastAsia="Calibri" w:cs=""/>
                <w:kern w:val="0"/>
                <w:sz w:val="26"/>
                <w:szCs w:val="26"/>
                <w:lang w:val="ru-RU" w:eastAsia="en-US" w:bidi="ar-SA"/>
              </w:rPr>
              <w:t>@</w:t>
            </w:r>
            <w:r>
              <w:rPr>
                <w:rStyle w:val="Hyperlink"/>
                <w:rFonts w:eastAsia="Calibri" w:cs=""/>
                <w:kern w:val="0"/>
                <w:sz w:val="26"/>
                <w:szCs w:val="26"/>
                <w:lang w:val="en-US" w:eastAsia="en-US" w:bidi="ar-SA"/>
              </w:rPr>
              <w:t>yakutskenergo</w:t>
            </w:r>
            <w:r>
              <w:rPr>
                <w:rStyle w:val="Hyperlink"/>
                <w:rFonts w:eastAsia="Calibri" w:cs=""/>
                <w:kern w:val="0"/>
                <w:sz w:val="26"/>
                <w:szCs w:val="26"/>
                <w:lang w:val="ru-RU" w:eastAsia="en-US" w:bidi="ar-SA"/>
              </w:rPr>
              <w:t>.</w:t>
            </w:r>
            <w:r>
              <w:rPr>
                <w:rStyle w:val="Hyperlink"/>
                <w:rFonts w:eastAsia="Calibri" w:cs=""/>
                <w:kern w:val="0"/>
                <w:sz w:val="26"/>
                <w:szCs w:val="26"/>
                <w:lang w:val="en-US" w:eastAsia="en-US" w:bidi="ar-SA"/>
              </w:rPr>
              <w:t>ru</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2694"/>
            <w:bookmarkStart w:id="30" w:name="_Ref125362694"/>
            <w:bookmarkEnd w:id="30"/>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0963"/>
            <w:bookmarkStart w:id="32" w:name="_Ref125360963"/>
            <w:bookmarkEnd w:id="32"/>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«06» февраля 2025 г.</w:t>
            </w:r>
          </w:p>
          <w:p>
            <w:pPr>
              <w:pStyle w:val="Style30"/>
              <w:widowControl/>
              <w:spacing w:before="60" w:after="60"/>
              <w:rPr>
                <w:rStyle w:val="Style11"/>
              </w:rPr>
            </w:pPr>
            <w:r>
              <w:rPr/>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2837"/>
            <w:bookmarkStart w:id="34" w:name="_Ref125362837"/>
            <w:bookmarkEnd w:id="34"/>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Normal"/>
              <w:widowControl w:val="false"/>
              <w:tabs>
                <w:tab w:val="clear" w:pos="708"/>
                <w:tab w:val="left" w:pos="426" w:leader="none"/>
              </w:tabs>
              <w:spacing w:before="60" w:after="12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w:t>
            </w:r>
          </w:p>
          <w:p>
            <w:pPr>
              <w:pStyle w:val="Normal"/>
              <w:widowControl w:val="false"/>
              <w:tabs>
                <w:tab w:val="clear" w:pos="708"/>
                <w:tab w:val="left" w:pos="426" w:leader="none"/>
              </w:tabs>
              <w:spacing w:before="60" w:after="12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Лот №</w:t>
            </w:r>
            <w:r>
              <w:rPr>
                <w:rFonts w:eastAsia="Calibri" w:cs=""/>
                <w:b/>
                <w:kern w:val="0"/>
                <w:sz w:val="26"/>
                <w:szCs w:val="22"/>
                <w:lang w:val="ru-RU" w:eastAsia="en-US" w:bidi="ar-SA"/>
              </w:rPr>
              <w:t xml:space="preserve"> </w:t>
            </w:r>
            <w:r>
              <w:rPr>
                <w:rFonts w:eastAsia="Calibri" w:cs=""/>
                <w:kern w:val="0"/>
                <w:sz w:val="26"/>
                <w:szCs w:val="22"/>
                <w:lang w:val="ru-RU" w:eastAsia="en-US" w:bidi="ar-SA"/>
              </w:rPr>
              <w:t>1 – 795 358 380,82 руб., без учета НДС.</w:t>
            </w:r>
          </w:p>
          <w:p>
            <w:pPr>
              <w:pStyle w:val="Normal"/>
              <w:widowControl w:val="false"/>
              <w:tabs>
                <w:tab w:val="clear" w:pos="708"/>
                <w:tab w:val="left" w:pos="426" w:leader="none"/>
              </w:tabs>
              <w:spacing w:before="60" w:after="12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Лот № 2 – 694 446 287,67 </w:t>
            </w:r>
            <w:r>
              <w:rPr>
                <w:rFonts w:eastAsia="Calibri" w:cs=""/>
                <w:kern w:val="0"/>
                <w:sz w:val="26"/>
                <w:szCs w:val="22"/>
                <w:shd w:fill="FFFFFF" w:val="clear"/>
                <w:lang w:val="ru-RU" w:eastAsia="en-US" w:bidi="ar-SA"/>
              </w:rPr>
              <w:t>руб</w:t>
            </w:r>
            <w:r>
              <w:rPr>
                <w:rFonts w:eastAsia="Calibri" w:cs=""/>
                <w:kern w:val="0"/>
                <w:sz w:val="26"/>
                <w:szCs w:val="22"/>
                <w:lang w:val="ru-RU" w:eastAsia="en-US" w:bidi="ar-SA"/>
              </w:rPr>
              <w:t>., без учета НДС.</w:t>
            </w:r>
          </w:p>
          <w:p>
            <w:pPr>
              <w:pStyle w:val="Style30"/>
              <w:widowControl/>
              <w:spacing w:before="60" w:after="60"/>
              <w:rPr>
                <w:rStyle w:val="Style11"/>
              </w:rPr>
            </w:pPr>
            <w:r>
              <w:rPr>
                <w:rFonts w:eastAsia="Calibri" w:cs=""/>
                <w:kern w:val="0"/>
                <w:sz w:val="26"/>
                <w:szCs w:val="22"/>
                <w:lang w:val="ru-RU" w:eastAsia="en-US" w:bidi="ar-SA"/>
              </w:rPr>
              <w:t xml:space="preserve">Лот № 3 – 829 349 184,68  </w:t>
            </w:r>
            <w:r>
              <w:rPr>
                <w:rFonts w:eastAsia="Calibri" w:cs=""/>
                <w:kern w:val="0"/>
                <w:sz w:val="26"/>
                <w:szCs w:val="22"/>
                <w:shd w:fill="FFFFFF" w:val="clear"/>
                <w:lang w:val="ru-RU" w:eastAsia="en-US" w:bidi="ar-SA"/>
              </w:rPr>
              <w:t>руб</w:t>
            </w:r>
            <w:r>
              <w:rPr>
                <w:rFonts w:eastAsia="Calibri" w:cs=""/>
                <w:kern w:val="0"/>
                <w:sz w:val="26"/>
                <w:szCs w:val="22"/>
                <w:lang w:val="ru-RU" w:eastAsia="en-US" w:bidi="ar-SA"/>
              </w:rPr>
              <w:t>., без учета НДС</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Шаг аукциона:</w:t>
            </w:r>
          </w:p>
        </w:tc>
        <w:tc>
          <w:tcPr>
            <w:tcW w:w="5676" w:type="dxa"/>
            <w:tcBorders/>
          </w:tcPr>
          <w:p>
            <w:pPr>
              <w:pStyle w:val="Style30"/>
              <w:widowControl/>
              <w:spacing w:before="60" w:after="60"/>
              <w:rPr>
                <w:rStyle w:val="Style11"/>
                <w:i w:val="false"/>
                <w:i w:val="false"/>
                <w:iCs w:val="false"/>
                <w:shd w:fill="auto" w:val="clear"/>
              </w:rPr>
            </w:pPr>
            <w:r>
              <w:rPr>
                <w:rStyle w:val="Style11"/>
                <w:rFonts w:eastAsia="Calibri" w:cs=""/>
                <w:i w:val="false"/>
                <w:iCs w:val="false"/>
                <w:kern w:val="0"/>
                <w:sz w:val="26"/>
                <w:szCs w:val="22"/>
                <w:shd w:fill="auto" w:val="clear"/>
                <w:lang w:val="ru-RU" w:eastAsia="en-US" w:bidi="ar-SA"/>
              </w:rPr>
              <w:t>0,5% от НМЦ, что составляет:</w:t>
            </w:r>
          </w:p>
          <w:p>
            <w:pPr>
              <w:pStyle w:val="Normal"/>
              <w:widowControl w:val="false"/>
              <w:tabs>
                <w:tab w:val="clear" w:pos="708"/>
                <w:tab w:val="left" w:pos="426" w:leader="none"/>
              </w:tabs>
              <w:spacing w:before="60" w:after="12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Лот №</w:t>
            </w:r>
            <w:r>
              <w:rPr>
                <w:rFonts w:eastAsia="Calibri" w:cs=""/>
                <w:b/>
                <w:kern w:val="0"/>
                <w:sz w:val="26"/>
                <w:szCs w:val="22"/>
                <w:lang w:val="ru-RU" w:eastAsia="en-US" w:bidi="ar-SA"/>
              </w:rPr>
              <w:t xml:space="preserve"> </w:t>
            </w:r>
            <w:r>
              <w:rPr>
                <w:rFonts w:eastAsia="Calibri" w:cs=""/>
                <w:kern w:val="0"/>
                <w:sz w:val="26"/>
                <w:szCs w:val="22"/>
                <w:lang w:val="ru-RU" w:eastAsia="en-US" w:bidi="ar-SA"/>
              </w:rPr>
              <w:t>1-   3 976 791,90 руб., без учета НДС.</w:t>
            </w:r>
          </w:p>
          <w:p>
            <w:pPr>
              <w:pStyle w:val="Normal"/>
              <w:widowControl w:val="false"/>
              <w:tabs>
                <w:tab w:val="clear" w:pos="708"/>
                <w:tab w:val="left" w:pos="426" w:leader="none"/>
              </w:tabs>
              <w:spacing w:before="60" w:after="12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Лот № 2 – 3 472 231,44 руб., без учета НДС</w:t>
            </w:r>
          </w:p>
          <w:p>
            <w:pPr>
              <w:pStyle w:val="Style30"/>
              <w:widowControl/>
              <w:spacing w:before="60" w:after="60"/>
              <w:rPr>
                <w:rStyle w:val="Style11"/>
              </w:rPr>
            </w:pPr>
            <w:r>
              <w:rPr>
                <w:rFonts w:eastAsia="Calibri" w:cs=""/>
                <w:kern w:val="0"/>
                <w:sz w:val="26"/>
                <w:szCs w:val="22"/>
                <w:lang w:val="ru-RU" w:eastAsia="en-US" w:bidi="ar-SA"/>
              </w:rPr>
              <w:t xml:space="preserve">Лот № 3 – 4 146 745,92 </w:t>
            </w:r>
            <w:r>
              <w:rPr>
                <w:rFonts w:eastAsia="Calibri" w:cs=""/>
                <w:kern w:val="0"/>
                <w:sz w:val="26"/>
                <w:szCs w:val="22"/>
                <w:shd w:fill="FFFFFF" w:val="clear"/>
                <w:lang w:val="ru-RU" w:eastAsia="en-US" w:bidi="ar-SA"/>
              </w:rPr>
              <w:t>руб</w:t>
            </w:r>
            <w:r>
              <w:rPr>
                <w:rFonts w:eastAsia="Calibri" w:cs=""/>
                <w:kern w:val="0"/>
                <w:sz w:val="26"/>
                <w:szCs w:val="22"/>
                <w:lang w:val="ru-RU" w:eastAsia="en-US" w:bidi="ar-SA"/>
              </w:rPr>
              <w:t>., без учета НДС</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3076"/>
            <w:bookmarkStart w:id="36" w:name="_Ref125363076"/>
            <w:bookmarkEnd w:id="36"/>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2995"/>
            <w:bookmarkStart w:id="38" w:name="_Ref125362995"/>
            <w:bookmarkEnd w:id="38"/>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0"/>
              <w:widowControl/>
              <w:spacing w:before="60" w:after="60"/>
              <w:rPr/>
            </w:pPr>
            <w:r>
              <w:rPr>
                <w:rFonts w:eastAsia="Calibri" w:cs=""/>
                <w:kern w:val="0"/>
                <w:sz w:val="26"/>
                <w:szCs w:val="22"/>
                <w:lang w:val="ru-RU" w:eastAsia="en-US" w:bidi="ar-SA"/>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533737"/>
            <w:bookmarkStart w:id="40" w:name="_Ref125533737"/>
            <w:bookmarkEnd w:id="40"/>
          </w:p>
        </w:tc>
        <w:tc>
          <w:tcPr>
            <w:tcW w:w="3233" w:type="dxa"/>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475086"/>
            <w:bookmarkStart w:id="42" w:name="_Ref125475086"/>
            <w:bookmarkEnd w:id="42"/>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360779"/>
            <w:bookmarkStart w:id="44" w:name="_Ref125360779"/>
            <w:bookmarkEnd w:id="44"/>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«06» февраля 2025 г.</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«19» марта 2025 г. в 12 ч. 00 мин.</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«19» марта 2025 г. в 12 ч. 00 мин.</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476197"/>
            <w:bookmarkStart w:id="46" w:name="_Ref125476197"/>
            <w:bookmarkEnd w:id="46"/>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33"/>
            <w:bookmarkStart w:id="48" w:name="_Ref125362733"/>
            <w:bookmarkEnd w:id="48"/>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30"/>
              <w:widowControl/>
              <w:spacing w:before="60" w:after="60"/>
              <w:rPr>
                <w:rStyle w:val="Style11"/>
              </w:rPr>
            </w:pPr>
            <w:r>
              <w:rPr>
                <w:rFonts w:eastAsia="Calibri" w:cs=""/>
                <w:kern w:val="0"/>
                <w:sz w:val="26"/>
                <w:szCs w:val="22"/>
                <w:lang w:val="ru-RU" w:eastAsia="en-US" w:bidi="ar-SA"/>
              </w:rPr>
              <w:t>«11» апреля 2025 г.</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w:t>
              <w:br/>
              <w:t>проведения аукциона:</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«16» апреля 2025 г. в 10 ч. 00 мин.</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362757"/>
            <w:bookmarkStart w:id="50" w:name="_Ref125362757"/>
            <w:bookmarkEnd w:id="50"/>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30"/>
              <w:widowControl/>
              <w:spacing w:before="60" w:after="60"/>
              <w:rPr>
                <w:rStyle w:val="Style11"/>
              </w:rPr>
            </w:pPr>
            <w:r>
              <w:rPr>
                <w:rFonts w:eastAsia="Calibri" w:cs=""/>
                <w:kern w:val="0"/>
                <w:sz w:val="26"/>
                <w:szCs w:val="22"/>
                <w:lang w:val="ru-RU" w:eastAsia="en-US" w:bidi="ar-SA"/>
              </w:rPr>
              <w:t>«18» апреля 2025 г.</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1769"/>
            <w:bookmarkStart w:id="52" w:name="_Ref125361769"/>
            <w:bookmarkEnd w:id="52"/>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3"/>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который предложил наиболее низкую стоимость заявки (цену Договора), а если при проведении аукциона цена была снижена до нуля и далее аукцион проводился на повышение цен – наиболее высокую стоимость заявки (цену Договора).</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366606"/>
            <w:bookmarkStart w:id="54" w:name="_Ref125366606"/>
            <w:bookmarkEnd w:id="54"/>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Normal"/>
              <w:widowControl w:val="false"/>
              <w:spacing w:before="60" w:after="60"/>
              <w:jc w:val="left"/>
              <w:rPr>
                <w:i/>
                <w:i/>
                <w:shd w:fill="FFFF99" w:val="clear"/>
              </w:rPr>
            </w:pPr>
            <w:r>
              <w:rPr>
                <w:rFonts w:eastAsia="Calibri" w:cs=""/>
                <w:bCs/>
                <w:spacing w:val="-6"/>
                <w:kern w:val="0"/>
                <w:sz w:val="26"/>
                <w:szCs w:val="22"/>
                <w:lang w:val="ru-RU" w:eastAsia="en-US" w:bidi="ar-SA"/>
              </w:rPr>
              <w:t xml:space="preserve">Один победитель по каждому лоту </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533374"/>
            <w:bookmarkStart w:id="56" w:name="_Ref125533374"/>
            <w:bookmarkEnd w:id="56"/>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0"/>
              <w:widowControl/>
              <w:spacing w:before="60" w:after="60"/>
              <w:rPr>
                <w:rFonts w:ascii="Times New Roman" w:hAnsi="Times New Roman" w:eastAsia="Calibri" w:cs=""/>
                <w:kern w:val="0"/>
                <w:sz w:val="26"/>
                <w:lang w:val="ru-RU" w:eastAsia="en-US" w:bidi="ar-SA"/>
              </w:rPr>
            </w:pPr>
            <w:r>
              <w:rPr>
                <w:rFonts w:eastAsia="Calibri" w:cs=""/>
                <w:kern w:val="0"/>
                <w:sz w:val="26"/>
                <w:szCs w:val="26"/>
                <w:lang w:val="ru-RU" w:eastAsia="en-US" w:bidi="ar-SA"/>
              </w:rPr>
              <w:t>В бумажной или электронной форме.</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6813"/>
            <w:bookmarkStart w:id="58" w:name="_Ref125366813"/>
            <w:bookmarkEnd w:id="58"/>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Style30"/>
              <w:widowControl/>
              <w:spacing w:before="60" w:after="60"/>
              <w:rPr>
                <w:rFonts w:ascii="Times New Roman" w:hAnsi="Times New Roman" w:eastAsia="Calibri" w:cs=""/>
                <w:kern w:val="0"/>
                <w:sz w:val="26"/>
                <w:lang w:val="ru-RU" w:eastAsia="en-US" w:bidi="ar-SA"/>
              </w:rPr>
            </w:pPr>
            <w:r>
              <w:rPr>
                <w:rFonts w:eastAsia="Calibri" w:cs=""/>
                <w:kern w:val="0"/>
                <w:sz w:val="26"/>
                <w:szCs w:val="26"/>
                <w:lang w:val="ru-RU" w:eastAsia="en-US" w:bidi="ar-SA"/>
              </w:rPr>
              <w:t>ПАО и АО согласно действующему законодательству в праве не заполнять данную справку, в связи с тем, что данная информация раскрывается публично. В данной связи, необходимо дать ссылку на общедоступный ресурс, посредством которого в законном порядке раскрыта соответствующая информация.</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8490"/>
            <w:bookmarkStart w:id="60" w:name="_Ref125368490"/>
            <w:bookmarkEnd w:id="60"/>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shd w:color="auto" w:fill="auto" w:val="clear"/>
          </w:tcPr>
          <w:p>
            <w:pPr>
              <w:pStyle w:val="Style33"/>
              <w:widowControl/>
              <w:spacing w:before="60" w:after="60"/>
              <w:rPr>
                <w:i w:val="false"/>
                <w:i w:val="false"/>
              </w:rPr>
            </w:pPr>
            <w:r>
              <w:rPr>
                <w:rFonts w:eastAsia="Calibri" w:cs=""/>
                <w:i w:val="false"/>
                <w:kern w:val="0"/>
                <w:sz w:val="26"/>
                <w:szCs w:val="26"/>
                <w:shd w:fill="auto" w:val="clear"/>
                <w:lang w:val="ru-RU" w:eastAsia="en-US" w:bidi="ar-SA"/>
              </w:rPr>
              <w:t>По пунктам проекта Договора Участник вправе предложить свою редакцию. При наличии соответствующих предложений, в состав заявки Участнику необходимо включить проект договора в редакции Участника, в части указанных в настоящем разделе пунктов.</w:t>
            </w:r>
          </w:p>
        </w:tc>
      </w:tr>
      <w:tr>
        <w:trPr/>
        <w:tc>
          <w:tcPr>
            <w:tcW w:w="845" w:type="dxa"/>
            <w:tcBorders/>
          </w:tcPr>
          <w:p>
            <w:pPr>
              <w:pStyle w:val="Style26"/>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3" w:type="dxa"/>
            <w:tcBorders/>
          </w:tcPr>
          <w:p>
            <w:pPr>
              <w:pStyle w:val="Style30"/>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tc>
      </w:tr>
    </w:tbl>
    <w:p>
      <w:pPr>
        <w:pStyle w:val="Style24"/>
        <w:rPr/>
      </w:pPr>
      <w:bookmarkStart w:id="61" w:name="_Toc186223978"/>
      <w:bookmarkStart w:id="62" w:name="_Ref125360337"/>
      <w:bookmarkStart w:id="63" w:name="_Ref125360073"/>
      <w:r>
        <w:rPr/>
        <w:t>Общие положения</w:t>
      </w:r>
      <w:bookmarkEnd w:id="61"/>
      <w:bookmarkEnd w:id="62"/>
      <w:bookmarkEnd w:id="63"/>
    </w:p>
    <w:p>
      <w:pPr>
        <w:pStyle w:val="Style25"/>
        <w:rPr/>
      </w:pPr>
      <w:bookmarkStart w:id="64" w:name="_Toc186223979"/>
      <w:r>
        <w:rPr/>
        <w:t>Общие сведения о закупке</w:t>
      </w:r>
      <w:bookmarkEnd w:id="64"/>
    </w:p>
    <w:p>
      <w:pPr>
        <w:pStyle w:val="Style26"/>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6"/>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6"/>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6"/>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5"/>
        <w:rPr/>
      </w:pPr>
      <w:bookmarkStart w:id="65" w:name="_Toc186223980"/>
      <w:r>
        <w:rPr/>
        <w:t>Правовой статус документов</w:t>
      </w:r>
      <w:bookmarkEnd w:id="65"/>
    </w:p>
    <w:p>
      <w:pPr>
        <w:pStyle w:val="Style26"/>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6"/>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6"/>
        <w:keepNext w:val="true"/>
        <w:rPr/>
      </w:pPr>
      <w:bookmarkStart w:id="66"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66"/>
      <w:r>
        <w:rPr/>
        <w:t>.</w:t>
      </w:r>
    </w:p>
    <w:p>
      <w:pPr>
        <w:pStyle w:val="Style26"/>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6"/>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6"/>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6"/>
        <w:rPr/>
      </w:pPr>
      <w:r>
        <w:rPr/>
        <w:t>Иные документы Организатора и Участников не определяют права и обязанности сторон в связи с данной закупкой.</w:t>
      </w:r>
    </w:p>
    <w:p>
      <w:pPr>
        <w:pStyle w:val="Style26"/>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5"/>
        <w:rPr/>
      </w:pPr>
      <w:bookmarkStart w:id="67" w:name="_Toc186223981"/>
      <w:bookmarkStart w:id="68" w:name="_Ref125363536"/>
      <w:r>
        <w:rPr/>
        <w:t>Обжалование</w:t>
      </w:r>
      <w:bookmarkEnd w:id="67"/>
      <w:bookmarkEnd w:id="68"/>
    </w:p>
    <w:p>
      <w:pPr>
        <w:pStyle w:val="Style26"/>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6"/>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6"/>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7"/>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7"/>
        <w:rPr/>
      </w:pPr>
      <w:r>
        <w:rPr/>
        <w:t>признать заявление Участника необоснованным.</w:t>
      </w:r>
    </w:p>
    <w:p>
      <w:pPr>
        <w:pStyle w:val="Style26"/>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6"/>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7"/>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7"/>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30"/>
        <w:ind w:left="1134" w:hanging="0"/>
        <w:rPr/>
      </w:pPr>
      <w:r>
        <w:rPr/>
        <w:t>Закупочная комиссия определяется в соответствии с Положением о закупке.</w:t>
      </w:r>
    </w:p>
    <w:p>
      <w:pPr>
        <w:pStyle w:val="Style25"/>
        <w:rPr/>
      </w:pPr>
      <w:bookmarkStart w:id="69" w:name="_Toc186223982"/>
      <w:bookmarkStart w:id="70" w:name="_Ref125472658"/>
      <w:r>
        <w:rPr/>
        <w:t>Особые положения при проведении закупки с использованием ЭП</w:t>
      </w:r>
      <w:bookmarkEnd w:id="69"/>
      <w:bookmarkEnd w:id="70"/>
    </w:p>
    <w:p>
      <w:pPr>
        <w:pStyle w:val="Style26"/>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6"/>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6"/>
        <w:rPr/>
      </w:pPr>
      <w:bookmarkStart w:id="71"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1"/>
    </w:p>
    <w:p>
      <w:pPr>
        <w:pStyle w:val="Style26"/>
        <w:rPr/>
      </w:pPr>
      <w:bookmarkStart w:id="72"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2"/>
    </w:p>
    <w:p>
      <w:pPr>
        <w:pStyle w:val="Style25"/>
        <w:rPr/>
      </w:pPr>
      <w:bookmarkStart w:id="73" w:name="_Toc186223983"/>
      <w:r>
        <w:rPr/>
        <w:t>Прочие положения</w:t>
      </w:r>
      <w:bookmarkEnd w:id="73"/>
    </w:p>
    <w:p>
      <w:pPr>
        <w:pStyle w:val="Style26"/>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6"/>
        <w:rPr/>
      </w:pPr>
      <w:bookmarkStart w:id="74"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4"/>
    </w:p>
    <w:p>
      <w:pPr>
        <w:pStyle w:val="Style26"/>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4"/>
        <w:rPr/>
      </w:pPr>
      <w:bookmarkStart w:id="75" w:name="_Toc186223984"/>
      <w:bookmarkStart w:id="76" w:name="_Ref125361210"/>
      <w:r>
        <w:rPr/>
        <w:t>Требования к Участникам</w:t>
      </w:r>
      <w:bookmarkEnd w:id="75"/>
      <w:bookmarkEnd w:id="76"/>
    </w:p>
    <w:p>
      <w:pPr>
        <w:pStyle w:val="Style25"/>
        <w:rPr/>
      </w:pPr>
      <w:bookmarkStart w:id="77" w:name="_Toc186223985"/>
      <w:bookmarkStart w:id="78" w:name="_Ref127524530"/>
      <w:r>
        <w:rPr/>
        <w:t>Общие требования к Участникам</w:t>
      </w:r>
      <w:bookmarkEnd w:id="77"/>
      <w:bookmarkEnd w:id="78"/>
    </w:p>
    <w:p>
      <w:pPr>
        <w:pStyle w:val="Style26"/>
        <w:rPr/>
      </w:pPr>
      <w:bookmarkStart w:id="79"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9"/>
    </w:p>
    <w:p>
      <w:pPr>
        <w:pStyle w:val="Style26"/>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6"/>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6"/>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7"/>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7"/>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7"/>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6"/>
        <w:keepNext w:val="true"/>
        <w:rPr/>
      </w:pPr>
      <w:r>
        <w:rPr/>
        <w:t>В рамках требований к Участникам могут быть установлены дополнительные требования:</w:t>
      </w:r>
    </w:p>
    <w:p>
      <w:pPr>
        <w:pStyle w:val="Style27"/>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7"/>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7"/>
        <w:rPr/>
      </w:pPr>
      <w:r>
        <w:rPr/>
        <w:t>к привлечению субподрядчиков (соисполнителей) из числа субъектов МСП (подраздел </w:t>
      </w:r>
      <w:r>
        <w:rPr/>
        <w:fldChar w:fldCharType="begin"/>
      </w:r>
      <w:r>
        <w:rPr/>
        <w:instrText xml:space="preserve"> REF _Ref127524203 \r \h </w:instrText>
      </w:r>
      <w:r>
        <w:rPr/>
        <w:fldChar w:fldCharType="separate"/>
      </w:r>
      <w:r>
        <w:rPr/>
        <w:t>3.4</w:t>
      </w:r>
      <w:r>
        <w:rPr/>
        <w:fldChar w:fldCharType="end"/>
      </w:r>
      <w:r>
        <w:rPr/>
        <w:t>).</w:t>
      </w:r>
    </w:p>
    <w:p>
      <w:pPr>
        <w:pStyle w:val="Style26"/>
        <w:rPr/>
      </w:pPr>
      <w:bookmarkStart w:id="80" w:name="_Ref125361976"/>
      <w:bookmarkStart w:id="81" w:name="_Ref125361969"/>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5"/>
        <w:rPr/>
      </w:pPr>
      <w:bookmarkStart w:id="82" w:name="_Ref125361976"/>
      <w:bookmarkStart w:id="83" w:name="_Ref125361969"/>
      <w:bookmarkStart w:id="84" w:name="_Toc186223986"/>
      <w:bookmarkStart w:id="85" w:name="_Ref130308255"/>
      <w:bookmarkStart w:id="86" w:name="_Ref130308203"/>
      <w:bookmarkStart w:id="87" w:name="_Ref130308111"/>
      <w:bookmarkStart w:id="88" w:name="_Ref130308062"/>
      <w:bookmarkStart w:id="89" w:name="_Ref130305355"/>
      <w:r>
        <w:rPr/>
        <w:t>Коллективные участники</w:t>
      </w:r>
      <w:bookmarkEnd w:id="82"/>
      <w:bookmarkEnd w:id="83"/>
      <w:bookmarkEnd w:id="84"/>
      <w:bookmarkEnd w:id="85"/>
      <w:bookmarkEnd w:id="86"/>
      <w:bookmarkEnd w:id="87"/>
      <w:bookmarkEnd w:id="88"/>
      <w:bookmarkEnd w:id="89"/>
    </w:p>
    <w:p>
      <w:pPr>
        <w:pStyle w:val="Style26"/>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6"/>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bookmarkStart w:id="90" w:name="_Ref125366972"/>
      <w:r>
        <w:rPr/>
        <w:t>Члены Коллективного участника заключают между собой соглашение, соответствующее нормам ГК РФ, и отвечающее следующим требованиям:</w:t>
      </w:r>
      <w:bookmarkEnd w:id="90"/>
    </w:p>
    <w:p>
      <w:pPr>
        <w:pStyle w:val="Style27"/>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7"/>
        <w:rPr/>
      </w:pPr>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7"/>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7"/>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7"/>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7"/>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6"/>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6"/>
        <w:rPr/>
      </w:pPr>
      <w:bookmarkStart w:id="91"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91"/>
    </w:p>
    <w:p>
      <w:pPr>
        <w:pStyle w:val="Style26"/>
        <w:rPr/>
      </w:pPr>
      <w:r>
        <w:rPr/>
        <w:t>При рассмотрении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6"/>
        <w:rPr/>
      </w:pPr>
      <w:bookmarkStart w:id="92" w:name="_Ref134705077"/>
      <w:r>
        <w:rPr/>
        <w:t>При рассмотрении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93" w:name="_Hlk132708323"/>
      <w:r>
        <w:rPr/>
        <w:t>наличие требуемого опыта, обеспеченность материально-техническими ресурсами и кадровыми ресурсами</w:t>
      </w:r>
      <w:bookmarkEnd w:id="93"/>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92"/>
    </w:p>
    <w:p>
      <w:pPr>
        <w:pStyle w:val="Style26"/>
        <w:keepNext w:val="true"/>
        <w:rPr/>
      </w:pPr>
      <w:bookmarkStart w:id="94"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4"/>
    </w:p>
    <w:p>
      <w:pPr>
        <w:pStyle w:val="Style27"/>
        <w:rPr/>
      </w:pPr>
      <w:r>
        <w:rPr/>
        <w:t>принимать участие в этой же закупке самостоятельно;</w:t>
      </w:r>
    </w:p>
    <w:p>
      <w:pPr>
        <w:pStyle w:val="Style27"/>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30"/>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6"/>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6"/>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6"/>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5"/>
        <w:rPr/>
      </w:pPr>
      <w:bookmarkStart w:id="95" w:name="_Toc186223987"/>
      <w:bookmarkStart w:id="96" w:name="_Ref125361702"/>
      <w:r>
        <w:rPr/>
        <w:t>Генеральные подрядчики</w:t>
      </w:r>
      <w:bookmarkEnd w:id="95"/>
      <w:bookmarkEnd w:id="96"/>
    </w:p>
    <w:p>
      <w:pPr>
        <w:pStyle w:val="Style26"/>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заявок Участников с учетом привлекаемых субподрядчиков.</w:t>
      </w:r>
    </w:p>
    <w:p>
      <w:pPr>
        <w:pStyle w:val="Style26"/>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r>
        <w:rPr/>
        <w:t>Генеральный подрядчик:</w:t>
      </w:r>
    </w:p>
    <w:p>
      <w:pPr>
        <w:pStyle w:val="Style27"/>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7"/>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6"/>
        <w:keepNext w:val="true"/>
        <w:rPr/>
      </w:pPr>
      <w:bookmarkStart w:id="97" w:name="_Ref125368863"/>
      <w:r>
        <w:rPr/>
        <w:t>Каждый субподрядчик из привлекаемых Генеральным подрядчиком должен отвечать:</w:t>
      </w:r>
    </w:p>
    <w:p>
      <w:pPr>
        <w:pStyle w:val="Style27"/>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0"/>
        <w:ind w:left="1134" w:hanging="0"/>
        <w:rPr/>
      </w:pPr>
      <w:bookmarkStart w:id="98"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98"/>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6"/>
        <w:rPr/>
      </w:pPr>
      <w:bookmarkStart w:id="99"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9"/>
    </w:p>
    <w:p>
      <w:pPr>
        <w:pStyle w:val="Style26"/>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предусмотрено рассмотрение заявок Участников с учетом привлекаемых субподрядчиков, то при рассмотрении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5"/>
        <w:rPr/>
      </w:pPr>
      <w:bookmarkStart w:id="100" w:name="_Toc186223988"/>
      <w:bookmarkStart w:id="101" w:name="_Ref127524203"/>
      <w:r>
        <w:rPr/>
        <w:t>Привлечение субподрядчиков (соисполнителей) из числа субъектов МСП</w:t>
      </w:r>
      <w:bookmarkEnd w:id="100"/>
      <w:bookmarkEnd w:id="101"/>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по привлечению к исполнению Договора субподрядчиков (соисполнителей) из числа субъектов МСП.</w:t>
      </w:r>
    </w:p>
    <w:p>
      <w:pPr>
        <w:pStyle w:val="Style26"/>
        <w:rPr/>
      </w:pPr>
      <w:r>
        <w:rPr/>
        <w:t>Помимо требований настоящего подраздела, Участник также должен выполнить требования к дополнительным документам, предоставляемым им в составе заявки, установленные в подразделе </w:t>
      </w:r>
      <w:r>
        <w:rPr/>
        <w:fldChar w:fldCharType="begin"/>
      </w:r>
      <w:r>
        <w:rPr/>
        <w:instrText xml:space="preserve"> REF _Ref125550523 \r \h </w:instrText>
      </w:r>
      <w:r>
        <w:rPr/>
        <w:fldChar w:fldCharType="separate"/>
      </w:r>
      <w:r>
        <w:rPr/>
        <w:t>8.7</w:t>
      </w:r>
      <w:r>
        <w:rPr/>
        <w:fldChar w:fldCharType="end"/>
      </w:r>
      <w:r>
        <w:rPr/>
        <w:t xml:space="preserve"> </w:t>
      </w:r>
      <w:hyperlink w:anchor="Прил03_ТребованияУчастникам">
        <w:r>
          <w:rPr>
            <w:rStyle w:val="Style14"/>
          </w:rPr>
          <w:t>Требований к Участникам (Приложение № 3)</w:t>
        </w:r>
      </w:hyperlink>
      <w:r>
        <w:rPr/>
        <w:t>. При этом в Плане распределения объемов поставки продукции (форма 11) (</w:t>
      </w:r>
      <w:hyperlink w:anchor="Прил04_ФормыЗаявки">
        <w:r>
          <w:rPr>
            <w:rStyle w:val="Style14"/>
          </w:rPr>
          <w:t>Приложение № 4</w:t>
        </w:r>
      </w:hyperlink>
      <w:r>
        <w:rPr/>
        <w:t>) Участник должен указать привлекаемых им субподрядчиков (соисполнителей) из числа субъектов МСП, а также является ли самостоятельно Участник субъектом МСП.</w:t>
      </w:r>
    </w:p>
    <w:p>
      <w:pPr>
        <w:pStyle w:val="Style26"/>
        <w:rPr/>
      </w:pPr>
      <w:r>
        <w:rPr/>
        <w:t>При этом требования подраздела </w:t>
      </w:r>
      <w:r>
        <w:rPr/>
        <w:fldChar w:fldCharType="begin"/>
      </w:r>
      <w:r>
        <w:rPr/>
        <w:instrText xml:space="preserve"> REF _Ref125550523 \r \h </w:instrText>
      </w:r>
      <w:r>
        <w:rPr/>
        <w:fldChar w:fldCharType="separate"/>
      </w:r>
      <w:r>
        <w:rPr/>
        <w:t>8.7</w:t>
      </w:r>
      <w:r>
        <w:rPr/>
        <w:fldChar w:fldCharType="end"/>
      </w:r>
      <w:r>
        <w:rPr/>
        <w:t xml:space="preserve"> </w:t>
      </w:r>
      <w:hyperlink w:anchor="Прил03_ТребованияУчастникам">
        <w:r>
          <w:rPr>
            <w:rStyle w:val="Style14"/>
          </w:rPr>
          <w:t>Требований к Участникам (Приложение № 3)</w:t>
        </w:r>
      </w:hyperlink>
      <w:r>
        <w:rPr/>
        <w:t xml:space="preserve"> применяются вне зависимости от порядка рассмотрения заявок участников, являющихся Генеральными подрядчиками (с учетом субподрядчиков, или без учета субподрядчиков) (подраздел </w:t>
      </w:r>
      <w:r>
        <w:rPr/>
        <w:fldChar w:fldCharType="begin"/>
      </w:r>
      <w:r>
        <w:rPr/>
        <w:instrText xml:space="preserve"> REF _Ref125361702 \r \h </w:instrText>
      </w:r>
      <w:r>
        <w:rPr/>
        <w:fldChar w:fldCharType="separate"/>
      </w:r>
      <w:r>
        <w:rPr/>
        <w:t>3.3</w:t>
      </w:r>
      <w:r>
        <w:rPr/>
        <w:fldChar w:fldCharType="end"/>
      </w:r>
      <w:r>
        <w:rPr/>
        <w:t>).</w:t>
      </w:r>
    </w:p>
    <w:p>
      <w:pPr>
        <w:pStyle w:val="Style26"/>
        <w:rPr/>
      </w:pPr>
      <w:bookmarkStart w:id="102" w:name="_Ref125473377"/>
      <w:r>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предоставления информации, указанной в Плане распределения объемов поставки продукции (форма 11) (</w:t>
      </w:r>
      <w:hyperlink w:anchor="Прил04_ФормыЗаявки">
        <w:r>
          <w:rPr>
            <w:rStyle w:val="Style14"/>
          </w:rPr>
          <w:t>Приложение № 4</w:t>
        </w:r>
      </w:hyperlink>
      <w:r>
        <w:rPr/>
        <w:t>).</w:t>
      </w:r>
      <w:bookmarkEnd w:id="102"/>
      <w:r>
        <w:rPr/>
        <w:t xml:space="preserve"> В случае непредоставления этой 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p>
    <w:p>
      <w:pPr>
        <w:sectPr>
          <w:headerReference w:type="default" r:id="rId7"/>
          <w:footerReference w:type="default" r:id="rId8"/>
          <w:footerReference w:type="first" r:id="rId9"/>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6"/>
        <w:rPr/>
      </w:pPr>
      <w:r>
        <w:rPr/>
        <w:t>Если привлекаемые субъекты МСП входят в состав Коллективного участника (подраздел </w:t>
      </w:r>
      <w:r>
        <w:rPr/>
        <w:fldChar w:fldCharType="begin"/>
      </w:r>
      <w:r>
        <w:rPr/>
        <w:instrText xml:space="preserve"> REF _Ref130308255 \r \h </w:instrText>
      </w:r>
      <w:r>
        <w:rPr/>
        <w:fldChar w:fldCharType="separate"/>
      </w:r>
      <w:r>
        <w:rPr/>
        <w:t>3.2</w:t>
      </w:r>
      <w:r>
        <w:rPr/>
        <w:fldChar w:fldCharType="end"/>
      </w:r>
      <w:r>
        <w:rPr/>
        <w:t>),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остальных требований настоящего подраздела.</w:t>
      </w:r>
    </w:p>
    <w:p>
      <w:pPr>
        <w:pStyle w:val="Style24"/>
        <w:rPr/>
      </w:pPr>
      <w:bookmarkStart w:id="103" w:name="_Toc186223989"/>
      <w:bookmarkStart w:id="104" w:name="_Ref125367974"/>
      <w:bookmarkStart w:id="105" w:name="_Ref125367107"/>
      <w:bookmarkStart w:id="106" w:name="_Ref125367098"/>
      <w:bookmarkStart w:id="107" w:name="_Ref125361211"/>
      <w:r>
        <w:rPr/>
        <w:t>Порядок проведения закупки</w:t>
      </w:r>
      <w:bookmarkEnd w:id="103"/>
      <w:bookmarkEnd w:id="104"/>
      <w:bookmarkEnd w:id="105"/>
      <w:bookmarkEnd w:id="106"/>
      <w:bookmarkEnd w:id="107"/>
    </w:p>
    <w:p>
      <w:pPr>
        <w:pStyle w:val="Style25"/>
        <w:rPr/>
      </w:pPr>
      <w:bookmarkStart w:id="108" w:name="_Toc186223990"/>
      <w:bookmarkStart w:id="109" w:name="_Ref126141932"/>
      <w:r>
        <w:rPr/>
        <w:t>Общий порядок проведения закупки</w:t>
      </w:r>
      <w:bookmarkEnd w:id="108"/>
      <w:bookmarkEnd w:id="109"/>
    </w:p>
    <w:p>
      <w:pPr>
        <w:pStyle w:val="Style26"/>
        <w:keepNext w:val="true"/>
        <w:spacing w:before="120" w:after="120"/>
        <w:rPr/>
      </w:pPr>
      <w:r>
        <w:rPr/>
        <w:t>Закупка проводится в следующем порядке:</w:t>
      </w:r>
    </w:p>
    <w:tbl>
      <w:tblPr>
        <w:tblStyle w:val="af4"/>
        <w:tblW w:w="14003" w:type="dxa"/>
        <w:jc w:val="left"/>
        <w:tblInd w:w="1129" w:type="dxa"/>
        <w:tblLayout w:type="fixed"/>
        <w:tblCellMar>
          <w:top w:w="0" w:type="dxa"/>
          <w:left w:w="28" w:type="dxa"/>
          <w:bottom w:w="0" w:type="dxa"/>
          <w:right w:w="28" w:type="dxa"/>
        </w:tblCellMar>
        <w:tblLook w:noVBand="1" w:val="04a0" w:noHBand="0" w:lastColumn="0" w:firstColumn="1" w:lastRow="0" w:firstRow="1"/>
      </w:tblPr>
      <w:tblGrid>
        <w:gridCol w:w="431"/>
        <w:gridCol w:w="3023"/>
        <w:gridCol w:w="1514"/>
        <w:gridCol w:w="1512"/>
        <w:gridCol w:w="3025"/>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31" w:type="dxa"/>
            <w:tcBorders>
              <w:left w:val="nil"/>
            </w:tcBorders>
            <w:vAlign w:val="bottom"/>
          </w:tcPr>
          <w:p>
            <w:pPr>
              <w:pStyle w:val="Style30"/>
              <w:keepNext w:val="true"/>
              <w:keepLines w:val="false"/>
              <w:widowControl/>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1" w:type="dxa"/>
            <w:gridSpan w:val="6"/>
            <w:tcBorders>
              <w:right w:val="nil"/>
            </w:tcBorders>
          </w:tcPr>
          <w:p>
            <w:pPr>
              <w:pStyle w:val="Style30"/>
              <w:keepNext w:val="true"/>
              <w:keepLines w:val="false"/>
              <w:widowControl/>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31" w:type="dxa"/>
            <w:tcBorders>
              <w:left w:val="nil"/>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049" w:type="dxa"/>
            <w:gridSpan w:val="3"/>
            <w:tcBorders/>
          </w:tcPr>
          <w:p>
            <w:pPr>
              <w:pStyle w:val="Style30"/>
              <w:widowControl/>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025" w:type="dxa"/>
            <w:vMerge w:val="restart"/>
            <w:tcBorders/>
          </w:tcPr>
          <w:p>
            <w:pPr>
              <w:pStyle w:val="Style30"/>
              <w:widowControl/>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0"/>
              <w:widowControl/>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0"/>
              <w:widowControl/>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31" w:type="dxa"/>
            <w:tcBorders>
              <w:left w:val="nil"/>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023" w:type="dxa"/>
            <w:tcBorders/>
          </w:tcPr>
          <w:p>
            <w:pPr>
              <w:pStyle w:val="Style30"/>
              <w:widowControl/>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026" w:type="dxa"/>
            <w:gridSpan w:val="2"/>
            <w:tcBorders/>
          </w:tcPr>
          <w:p>
            <w:pPr>
              <w:pStyle w:val="Style30"/>
              <w:widowControl/>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3025" w:type="dxa"/>
            <w:vMerge w:val="continue"/>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c>
          <w:tcPr>
            <w:tcW w:w="2267" w:type="dxa"/>
            <w:vMerge w:val="continue"/>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c>
          <w:tcPr>
            <w:tcW w:w="2230" w:type="dxa"/>
            <w:vMerge w:val="continue"/>
            <w:tcBorders>
              <w:right w:val="nil"/>
            </w:tcBorders>
            <w:vAlign w:val="bottom"/>
          </w:tcPr>
          <w:p>
            <w:pPr>
              <w:pStyle w:val="Style30"/>
              <w:widowControl/>
              <w:spacing w:before="40" w:after="40"/>
              <w:jc w:val="center"/>
              <w:rPr>
                <w:bCs/>
                <w:sz w:val="24"/>
                <w:szCs w:val="24"/>
              </w:rPr>
            </w:pPr>
            <w:r>
              <w:rPr>
                <w:rFonts w:eastAsia="Calibri" w:cs=""/>
                <w:bCs/>
                <w:kern w:val="0"/>
                <w:sz w:val="24"/>
                <w:szCs w:val="24"/>
                <w:lang w:val="ru-RU" w:eastAsia="en-US" w:bidi="ar-SA"/>
              </w:rPr>
            </w:r>
          </w:p>
        </w:tc>
      </w:tr>
      <w:tr>
        <w:trPr/>
        <w:tc>
          <w:tcPr>
            <w:tcW w:w="431" w:type="dxa"/>
            <w:tcBorders>
              <w:left w:val="nil"/>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1" w:type="dxa"/>
            <w:gridSpan w:val="5"/>
            <w:tcBorders/>
          </w:tcPr>
          <w:p>
            <w:pPr>
              <w:pStyle w:val="Style30"/>
              <w:widowControl/>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0"/>
              <w:widowControl/>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31" w:type="dxa"/>
            <w:tcBorders>
              <w:left w:val="nil"/>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023" w:type="dxa"/>
            <w:tcBorders/>
          </w:tcPr>
          <w:p>
            <w:pPr>
              <w:pStyle w:val="Style30"/>
              <w:widowControl/>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026" w:type="dxa"/>
            <w:gridSpan w:val="2"/>
            <w:tcBorders/>
          </w:tcPr>
          <w:p>
            <w:pPr>
              <w:pStyle w:val="Style30"/>
              <w:widowControl/>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_Ref186216127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025" w:type="dxa"/>
            <w:tcBorders/>
            <w:vAlign w:val="center"/>
          </w:tcPr>
          <w:p>
            <w:pPr>
              <w:pStyle w:val="Style30"/>
              <w:widowControl/>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0"/>
              <w:widowControl/>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r>
      <w:tr>
        <w:trPr>
          <w:trHeight w:val="210" w:hRule="atLeast"/>
        </w:trPr>
        <w:tc>
          <w:tcPr>
            <w:tcW w:w="431" w:type="dxa"/>
            <w:tcBorders>
              <w:left w:val="nil"/>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4" w:type="dxa"/>
            <w:gridSpan w:val="4"/>
            <w:tcBorders/>
          </w:tcPr>
          <w:p>
            <w:pPr>
              <w:pStyle w:val="Style30"/>
              <w:widowControl/>
              <w:spacing w:before="40" w:after="40"/>
              <w:jc w:val="center"/>
              <w:rPr>
                <w:bCs/>
                <w:sz w:val="24"/>
                <w:szCs w:val="24"/>
              </w:rPr>
            </w:pPr>
            <w:r>
              <w:rPr>
                <w:rFonts w:eastAsia="Calibri" w:cs=""/>
                <w:bCs/>
                <w:kern w:val="0"/>
                <w:sz w:val="24"/>
                <w:szCs w:val="24"/>
                <w:lang w:val="ru-RU" w:eastAsia="en-US" w:bidi="ar-SA"/>
              </w:rPr>
              <w:t>Проведение аукциона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_Ref149223728 \n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vAlign w:val="center"/>
          </w:tcPr>
          <w:p>
            <w:pPr>
              <w:pStyle w:val="Style30"/>
              <w:widowControl/>
              <w:spacing w:before="40" w:after="40"/>
              <w:jc w:val="center"/>
              <w:rPr>
                <w:bCs/>
                <w:sz w:val="24"/>
                <w:szCs w:val="24"/>
              </w:rPr>
            </w:pPr>
            <w:r>
              <w:rPr>
                <w:rFonts w:eastAsia="Calibri" w:cs=""/>
                <w:bCs/>
                <w:kern w:val="0"/>
                <w:sz w:val="24"/>
                <w:szCs w:val="24"/>
                <w:lang w:val="ru-RU" w:eastAsia="en-US" w:bidi="ar-SA"/>
              </w:rPr>
            </w:r>
          </w:p>
        </w:tc>
        <w:tc>
          <w:tcPr>
            <w:tcW w:w="2230" w:type="dxa"/>
            <w:vMerge w:val="continue"/>
            <w:tcBorders>
              <w:right w:val="nil"/>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r>
      <w:tr>
        <w:trPr>
          <w:trHeight w:val="210" w:hRule="atLeast"/>
        </w:trPr>
        <w:tc>
          <w:tcPr>
            <w:tcW w:w="431" w:type="dxa"/>
            <w:tcBorders>
              <w:left w:val="nil"/>
              <w:bottom w:val="dashed" w:sz="4" w:space="0" w:color="000000"/>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4537" w:type="dxa"/>
            <w:gridSpan w:val="2"/>
            <w:tcBorders>
              <w:bottom w:val="dashed" w:sz="4" w:space="0" w:color="000000"/>
            </w:tcBorders>
            <w:vAlign w:val="center"/>
          </w:tcPr>
          <w:p>
            <w:pPr>
              <w:pStyle w:val="Style30"/>
              <w:widowControl/>
              <w:spacing w:before="40" w:after="40"/>
              <w:jc w:val="center"/>
              <w:rPr>
                <w:rFonts w:ascii="Times New Roman" w:hAnsi="Times New Roman" w:eastAsia="Calibri" w:cs=""/>
                <w:kern w:val="0"/>
                <w:lang w:val="ru-RU" w:eastAsia="en-US" w:bidi="ar-SA"/>
              </w:rPr>
            </w:pPr>
            <w:r>
              <w:rPr>
                <w:rFonts w:eastAsia="Calibri" w:cs=""/>
                <w:bCs/>
                <w:kern w:val="0"/>
                <w:sz w:val="24"/>
                <w:szCs w:val="24"/>
                <w:lang w:val="ru-RU" w:eastAsia="en-US" w:bidi="ar-SA"/>
              </w:rPr>
              <w:t>Оценка и сопоставление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537" w:type="dxa"/>
            <w:gridSpan w:val="2"/>
            <w:tcBorders>
              <w:bottom w:val="dashed" w:sz="4" w:space="0" w:color="000000"/>
            </w:tcBorders>
            <w:vAlign w:val="center"/>
          </w:tcPr>
          <w:p>
            <w:pPr>
              <w:pStyle w:val="Style30"/>
              <w:widowControl/>
              <w:spacing w:before="40" w:after="40"/>
              <w:jc w:val="center"/>
              <w:rPr>
                <w:rFonts w:ascii="Times New Roman" w:hAnsi="Times New Roman" w:eastAsia="Calibri" w:cs=""/>
                <w:kern w:val="0"/>
                <w:lang w:val="ru-RU" w:eastAsia="en-US" w:bidi="ar-SA"/>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_Ref186216127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c>
          <w:tcPr>
            <w:tcW w:w="2230" w:type="dxa"/>
            <w:vMerge w:val="continue"/>
            <w:tcBorders>
              <w:right w:val="nil"/>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r>
      <w:tr>
        <w:trPr>
          <w:trHeight w:val="722" w:hRule="atLeast"/>
        </w:trPr>
        <w:tc>
          <w:tcPr>
            <w:tcW w:w="431" w:type="dxa"/>
            <w:tcBorders>
              <w:left w:val="nil"/>
            </w:tcBorders>
            <w:vAlign w:val="bottom"/>
          </w:tcPr>
          <w:p>
            <w:pPr>
              <w:pStyle w:val="Style30"/>
              <w:widowControl/>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4" w:type="dxa"/>
            <w:gridSpan w:val="4"/>
            <w:tcBorders/>
          </w:tcPr>
          <w:p>
            <w:pPr>
              <w:pStyle w:val="Style30"/>
              <w:widowControl/>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c>
          <w:tcPr>
            <w:tcW w:w="2230" w:type="dxa"/>
            <w:vMerge w:val="continue"/>
            <w:tcBorders>
              <w:right w:val="nil"/>
            </w:tcBorders>
          </w:tcPr>
          <w:p>
            <w:pPr>
              <w:pStyle w:val="Style30"/>
              <w:widowControl/>
              <w:spacing w:before="40" w:after="40"/>
              <w:jc w:val="center"/>
              <w:rPr>
                <w:bCs/>
                <w:sz w:val="24"/>
                <w:szCs w:val="24"/>
              </w:rPr>
            </w:pPr>
            <w:r>
              <w:rPr>
                <w:rFonts w:eastAsia="Calibri" w:cs=""/>
                <w:bCs/>
                <w:kern w:val="0"/>
                <w:sz w:val="24"/>
                <w:szCs w:val="24"/>
                <w:lang w:val="ru-RU" w:eastAsia="en-US" w:bidi="ar-SA"/>
              </w:rPr>
            </w:r>
          </w:p>
        </w:tc>
      </w:tr>
      <w:tr>
        <w:trPr/>
        <w:tc>
          <w:tcPr>
            <w:tcW w:w="431" w:type="dxa"/>
            <w:tcBorders>
              <w:left w:val="nil"/>
            </w:tcBorders>
            <w:vAlign w:val="bottom"/>
          </w:tcPr>
          <w:p>
            <w:pPr>
              <w:pStyle w:val="Style30"/>
              <w:widowControl/>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3023" w:type="dxa"/>
            <w:tcBorders/>
          </w:tcPr>
          <w:p>
            <w:pPr>
              <w:pStyle w:val="Style30"/>
              <w:widowControl/>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026" w:type="dxa"/>
            <w:gridSpan w:val="2"/>
            <w:tcBorders/>
          </w:tcPr>
          <w:p>
            <w:pPr>
              <w:pStyle w:val="Style30"/>
              <w:widowControl/>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_Ref186216127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025" w:type="dxa"/>
            <w:tcBorders/>
          </w:tcPr>
          <w:p>
            <w:pPr>
              <w:pStyle w:val="Style30"/>
              <w:widowControl/>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0"/>
              <w:widowControl/>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10"/>
          <w:headerReference w:type="first" r:id="rId11"/>
          <w:footerReference w:type="default" r:id="rId12"/>
          <w:footerReference w:type="first" r:id="rId1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Style w:val="Style30"/>
        <w:rPr>
          <w:sz w:val="2"/>
          <w:szCs w:val="2"/>
        </w:rPr>
      </w:pPr>
      <w:r>
        <w:rPr>
          <w:sz w:val="2"/>
          <w:szCs w:val="2"/>
        </w:rPr>
      </w:r>
    </w:p>
    <w:p>
      <w:pPr>
        <w:pStyle w:val="Style25"/>
        <w:rPr/>
      </w:pPr>
      <w:bookmarkStart w:id="110" w:name="_Toc186223991"/>
      <w:bookmarkStart w:id="111" w:name="_Ref130286532"/>
      <w:r>
        <w:rPr/>
        <w:t>Официальное размещение Извещения и Документации о закупке</w:t>
      </w:r>
      <w:bookmarkEnd w:id="110"/>
      <w:bookmarkEnd w:id="111"/>
    </w:p>
    <w:p>
      <w:pPr>
        <w:pStyle w:val="Style26"/>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6"/>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6"/>
        <w:rPr/>
      </w:pPr>
      <w:bookmarkStart w:id="112"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12"/>
    </w:p>
    <w:p>
      <w:pPr>
        <w:pStyle w:val="Style26"/>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5"/>
        <w:rPr/>
      </w:pPr>
      <w:bookmarkStart w:id="113" w:name="_Toc186223992"/>
      <w:bookmarkStart w:id="114" w:name="_Ref130394681"/>
      <w:bookmarkStart w:id="115" w:name="_Ref130281199"/>
      <w:r>
        <w:rPr/>
        <w:t>Подготовка заявки</w:t>
      </w:r>
      <w:bookmarkEnd w:id="113"/>
      <w:bookmarkEnd w:id="114"/>
      <w:bookmarkEnd w:id="115"/>
    </w:p>
    <w:p>
      <w:pPr>
        <w:pStyle w:val="Style26"/>
        <w:rPr/>
      </w:pPr>
      <w:r>
        <w:rPr/>
        <w:t>Участник должен подготовить заявку с учетом требований Документации о закупке.</w:t>
      </w:r>
    </w:p>
    <w:p>
      <w:pPr>
        <w:pStyle w:val="Style26"/>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6"/>
        <w:rPr/>
      </w:pPr>
      <w:bookmarkStart w:id="116" w:name="_Ref125365866"/>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6"/>
        <w:rPr/>
      </w:pPr>
      <w:bookmarkStart w:id="117" w:name="_Ref125365866"/>
      <w:bookmarkStart w:id="118"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17"/>
      <w:bookmarkEnd w:id="118"/>
    </w:p>
    <w:p>
      <w:pPr>
        <w:pStyle w:val="Style26"/>
        <w:rPr/>
      </w:pPr>
      <w:bookmarkStart w:id="119" w:name="_Ref125366672"/>
      <w:bookmarkStart w:id="120" w:name="_Ref125362071"/>
      <w:bookmarkStart w:id="121" w:name="_Ref125361260"/>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6"/>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6"/>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6"/>
        <w:rPr/>
      </w:pPr>
      <w:bookmarkStart w:id="122" w:name="_Ref125370708"/>
      <w:bookmarkStart w:id="123" w:name="_Ref125370700"/>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6"/>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22"/>
      <w:bookmarkEnd w:id="123"/>
    </w:p>
    <w:p>
      <w:pPr>
        <w:pStyle w:val="Style26"/>
        <w:rPr/>
      </w:pPr>
      <w:r>
        <w:rPr/>
        <w:t>Нормы настоящего пункта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Style14"/>
          </w:rPr>
          <w:t>Приложение № 4</w:t>
        </w:r>
      </w:hyperlink>
      <w:r>
        <w:rP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6"/>
        <w:rPr/>
      </w:pPr>
      <w:bookmarkStart w:id="124" w:name="_Ref130379863"/>
      <w:r>
        <w:rPr/>
        <w:t>Нормы настоящего пункта и пунктов </w:t>
      </w:r>
      <w:r>
        <w:rPr/>
        <w:fldChar w:fldCharType="begin"/>
      </w:r>
      <w:r>
        <w:rPr/>
        <w:instrText xml:space="preserve"> REF _Ref164250625 \r \h </w:instrText>
      </w:r>
      <w:r>
        <w:rPr/>
        <w:fldChar w:fldCharType="separate"/>
      </w:r>
      <w:r>
        <w:rPr/>
        <w:t>4.3.12</w:t>
      </w:r>
      <w:r>
        <w:rPr/>
        <w:fldChar w:fldCharType="end"/>
      </w:r>
      <w:r>
        <w:rPr/>
        <w:t xml:space="preserve"> – </w:t>
      </w:r>
      <w:r>
        <w:rPr/>
        <w:fldChar w:fldCharType="begin"/>
      </w:r>
      <w:r>
        <w:rPr/>
        <w:instrText xml:space="preserve"> REF _Ref130455500 \r \h </w:instrText>
      </w:r>
      <w:r>
        <w:rPr/>
        <w:fldChar w:fldCharType="separate"/>
      </w:r>
      <w:r>
        <w:rPr/>
        <w:t>4.3.15</w:t>
      </w:r>
      <w:r>
        <w:rPr/>
        <w:fldChar w:fldCharType="end"/>
      </w:r>
      <w:r>
        <w:rPr/>
        <w:t xml:space="preserve">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Style14"/>
          </w:rPr>
          <w:t>Приложение № 4</w:t>
        </w:r>
      </w:hyperlink>
      <w:r>
        <w:rP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w:t>
      </w:r>
      <w:bookmarkEnd w:id="124"/>
    </w:p>
    <w:p>
      <w:pPr>
        <w:pStyle w:val="Style26"/>
        <w:rPr/>
      </w:pPr>
      <w:bookmarkStart w:id="125" w:name="_Ref164250625"/>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Style14"/>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125"/>
    </w:p>
    <w:p>
      <w:pPr>
        <w:pStyle w:val="Style26"/>
        <w:rPr/>
      </w:pPr>
      <w:r>
        <w:rPr/>
        <w:t xml:space="preserve">Если в </w:t>
      </w:r>
      <w:hyperlink w:anchor="Прил01_ТехТребования">
        <w:r>
          <w:rPr>
            <w:rStyle w:val="Style14"/>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Style14"/>
          </w:rPr>
          <w:t>Технических требованиях (Приложение № 1)</w:t>
        </w:r>
      </w:hyperlink>
      <w:r>
        <w:rPr/>
        <w:t>.</w:t>
      </w:r>
    </w:p>
    <w:p>
      <w:pPr>
        <w:pStyle w:val="Style26"/>
        <w:rPr/>
      </w:pPr>
      <w:bookmarkStart w:id="126"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Style14"/>
          </w:rPr>
          <w:t>Техническими требованиями (Приложение № 1)</w:t>
        </w:r>
      </w:hyperlink>
      <w:r>
        <w:rPr/>
        <w:t>.</w:t>
      </w:r>
      <w:bookmarkEnd w:id="126"/>
    </w:p>
    <w:p>
      <w:pPr>
        <w:pStyle w:val="Style26"/>
        <w:rPr/>
      </w:pPr>
      <w:bookmarkStart w:id="127"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4.3.11</w:t>
      </w:r>
      <w:r>
        <w:rPr/>
        <w:fldChar w:fldCharType="end"/>
      </w:r>
      <w:r>
        <w:rPr/>
        <w:t xml:space="preserve"> – </w:t>
      </w:r>
      <w:r>
        <w:rPr/>
        <w:fldChar w:fldCharType="begin"/>
      </w:r>
      <w:r>
        <w:rPr/>
        <w:instrText xml:space="preserve"> REF _Ref130379876 \r \h </w:instrText>
      </w:r>
      <w:r>
        <w:rPr/>
        <w:fldChar w:fldCharType="separate"/>
      </w:r>
      <w:r>
        <w:rPr/>
        <w:t>4.3.14</w:t>
      </w:r>
      <w:r>
        <w:rPr/>
        <w:fldChar w:fldCharType="end"/>
      </w:r>
      <w:r>
        <w:rPr/>
        <w:t>) Организатор вправе отклонить заявку такого Участника от дальнейшего участия в закупке.</w:t>
      </w:r>
      <w:bookmarkEnd w:id="127"/>
    </w:p>
    <w:p>
      <w:pPr>
        <w:pStyle w:val="Style26"/>
        <w:keepNext w:val="true"/>
        <w:rPr/>
      </w:pPr>
      <w:bookmarkStart w:id="128" w:name="_Ref125714384"/>
      <w:bookmarkStart w:id="129" w:name="_Ref125370398"/>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7"/>
        <w:rPr/>
      </w:pPr>
      <w:r>
        <w:rPr/>
        <w:t>внутренние противоречия между различными частями и (или) документами заявки, в том числе по тексту внутри одного документа;</w:t>
      </w:r>
    </w:p>
    <w:p>
      <w:pPr>
        <w:pStyle w:val="Style27"/>
        <w:rPr/>
      </w:pPr>
      <w:bookmarkStart w:id="130" w:name="_Ref125714384"/>
      <w:bookmarkStart w:id="131" w:name="_Ref125370398"/>
      <w:r>
        <w:rPr/>
        <w:t>противоречия между документами заявки и сведениями, указанными Участником в структурированных формах на ЭП.</w:t>
      </w:r>
      <w:bookmarkEnd w:id="130"/>
      <w:bookmarkEnd w:id="131"/>
    </w:p>
    <w:p>
      <w:pPr>
        <w:pStyle w:val="Style26"/>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7"/>
        <w:rPr/>
      </w:pPr>
      <w:r>
        <w:rPr/>
        <w:t>полномочий таких органов / лиц на оформление этих документов;</w:t>
      </w:r>
    </w:p>
    <w:p>
      <w:pPr>
        <w:pStyle w:val="Style27"/>
        <w:rPr/>
      </w:pPr>
      <w:r>
        <w:rPr/>
        <w:t>формы, объема и содержания этих документов.</w:t>
      </w:r>
    </w:p>
    <w:p>
      <w:pPr>
        <w:pStyle w:val="Style26"/>
        <w:keepNext w:val="true"/>
        <w:rPr/>
      </w:pPr>
      <w:r>
        <w:rPr/>
        <w:t>Участник должен подготовить заявку с соблюдением следующих условий:</w:t>
      </w:r>
    </w:p>
    <w:p>
      <w:pPr>
        <w:pStyle w:val="Style27"/>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7"/>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7"/>
        <w:rPr/>
      </w:pPr>
      <w:r>
        <w:rPr/>
        <w:t>все файлы не должны иметь защиты от их открытия, изменения, копирования их содержимого или их печати;</w:t>
      </w:r>
    </w:p>
    <w:p>
      <w:pPr>
        <w:pStyle w:val="Style27"/>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7"/>
        <w:rPr/>
      </w:pPr>
      <w:r>
        <w:rPr/>
        <w:t>если какой-либо документ представлен в нечитаемом виде, данный документ считается непредставленным.</w:t>
      </w:r>
    </w:p>
    <w:p>
      <w:pPr>
        <w:pStyle w:val="Style26"/>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5"/>
        <w:rPr/>
      </w:pPr>
      <w:bookmarkStart w:id="132" w:name="_Ref125366672"/>
      <w:bookmarkStart w:id="133" w:name="_Ref125362071"/>
      <w:bookmarkStart w:id="134" w:name="_Ref125361260"/>
      <w:bookmarkStart w:id="135" w:name="_Toc186223993"/>
      <w:bookmarkStart w:id="136" w:name="_Ref130394802"/>
      <w:bookmarkStart w:id="137" w:name="_Ref130394785"/>
      <w:bookmarkStart w:id="138" w:name="_Ref130394205"/>
      <w:r>
        <w:rPr/>
        <w:t>Разъяснение Документации о закупке</w:t>
      </w:r>
      <w:bookmarkEnd w:id="132"/>
      <w:bookmarkEnd w:id="133"/>
      <w:bookmarkEnd w:id="134"/>
      <w:bookmarkEnd w:id="135"/>
      <w:bookmarkEnd w:id="136"/>
      <w:bookmarkEnd w:id="137"/>
      <w:bookmarkEnd w:id="138"/>
    </w:p>
    <w:p>
      <w:pPr>
        <w:pStyle w:val="Style26"/>
        <w:rPr/>
      </w:pPr>
      <w:r>
        <w:rPr/>
        <w:t>Участники вправе обратиться к Организатору за разъяснениями Документации о закупке.</w:t>
      </w:r>
    </w:p>
    <w:p>
      <w:pPr>
        <w:pStyle w:val="Style26"/>
        <w:rPr/>
      </w:pPr>
      <w:r>
        <w:rPr/>
        <w:t>Запросы подаются в соответствии с Регламентами и инструкциями Оператора ЭП, опубликованными на сайте соответствующей ЭП.</w:t>
      </w:r>
    </w:p>
    <w:p>
      <w:pPr>
        <w:pStyle w:val="Style26"/>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6"/>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6"/>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6"/>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6"/>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5"/>
        <w:rPr/>
      </w:pPr>
      <w:bookmarkStart w:id="139" w:name="_Toc186223994"/>
      <w:bookmarkStart w:id="140" w:name="_Ref125364404"/>
      <w:bookmarkStart w:id="141" w:name="_Ref125363891"/>
      <w:bookmarkStart w:id="142" w:name="_Ref125362076"/>
      <w:r>
        <w:rPr/>
        <w:t>Изменения Извещения и (или) Документации о закупке</w:t>
      </w:r>
      <w:bookmarkEnd w:id="139"/>
      <w:bookmarkEnd w:id="140"/>
      <w:bookmarkEnd w:id="141"/>
      <w:bookmarkEnd w:id="142"/>
    </w:p>
    <w:p>
      <w:pPr>
        <w:pStyle w:val="Style26"/>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6"/>
        <w:rPr/>
      </w:pPr>
      <w:bookmarkStart w:id="143" w:name="_Ref125550844"/>
      <w:r>
        <w:rPr/>
        <w:t>После окончания срока подачи заявок допускается изменение только в части установленных Документацией о закупке дат (и если необходимо времени) рассмотрения заявок, проведения аукциона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43"/>
    </w:p>
    <w:p>
      <w:pPr>
        <w:pStyle w:val="Style26"/>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6"/>
        <w:rPr/>
      </w:pPr>
      <w:bookmarkStart w:id="144"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44"/>
      <w:r>
        <w:rPr/>
        <w:t xml:space="preserve"> 8 (восьми) календарных дней.</w:t>
      </w:r>
    </w:p>
    <w:p>
      <w:pPr>
        <w:pStyle w:val="Style26"/>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5"/>
        <w:rPr/>
      </w:pPr>
      <w:bookmarkStart w:id="145" w:name="_Toc186223995"/>
      <w:bookmarkStart w:id="146" w:name="_Ref125362119"/>
      <w:r>
        <w:rPr/>
        <w:t>Подача заявок и их прием</w:t>
      </w:r>
      <w:bookmarkEnd w:id="145"/>
      <w:bookmarkEnd w:id="146"/>
    </w:p>
    <w:p>
      <w:pPr>
        <w:pStyle w:val="Style26"/>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6"/>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6"/>
        <w:rPr/>
      </w:pPr>
      <w:r>
        <w:rPr/>
        <w:t>При подаче заявки Участник обязан в Письме о подаче оферты (форма 2) (</w:t>
      </w:r>
      <w:hyperlink w:anchor="Прил04_ФормыЗаявки">
        <w:r>
          <w:rPr>
            <w:rStyle w:val="Style14"/>
          </w:rPr>
          <w:t>Приложение № 4</w:t>
        </w:r>
      </w:hyperlink>
      <w:r>
        <w:rPr/>
        <w:t>) указать (заполнить соответствующее поле на ЭП) стоимость заявки (цену Договора), являющиеся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p>
    <w:p>
      <w:pPr>
        <w:pStyle w:val="Style26"/>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6"/>
        <w:rPr/>
      </w:pPr>
      <w:r>
        <w:rPr/>
        <w:t>Заявка должна быть подписана электронной подписью лица, которое является уполномоченным представителем Участника.</w:t>
      </w:r>
    </w:p>
    <w:p>
      <w:pPr>
        <w:pStyle w:val="Style26"/>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6"/>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6"/>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5"/>
        <w:rPr/>
      </w:pPr>
      <w:bookmarkStart w:id="147" w:name="_Toc186223996"/>
      <w:bookmarkStart w:id="148" w:name="_Ref125365136"/>
      <w:bookmarkStart w:id="149" w:name="_Ref125363819"/>
      <w:bookmarkStart w:id="150" w:name="_Ref125362192"/>
      <w:bookmarkStart w:id="151" w:name="_Ref125362130"/>
      <w:r>
        <w:rPr/>
        <w:t>Изменение и отзыв заявок</w:t>
      </w:r>
      <w:bookmarkEnd w:id="147"/>
      <w:bookmarkEnd w:id="148"/>
      <w:bookmarkEnd w:id="149"/>
      <w:bookmarkEnd w:id="150"/>
      <w:bookmarkEnd w:id="151"/>
    </w:p>
    <w:p>
      <w:pPr>
        <w:pStyle w:val="Style26"/>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6"/>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6"/>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6"/>
        <w:rPr/>
      </w:pPr>
      <w:r>
        <w:rPr/>
        <w:t>Изменения и отзыв заявки осуществляется посредством функционала ЭП (подробный порядок определяется Регламентом ЭП).</w:t>
      </w:r>
    </w:p>
    <w:p>
      <w:pPr>
        <w:pStyle w:val="Style25"/>
        <w:rPr/>
      </w:pPr>
      <w:bookmarkStart w:id="152" w:name="_Ref125364340"/>
      <w:bookmarkStart w:id="153" w:name="_Toc186223997"/>
      <w:bookmarkStart w:id="154" w:name="_Ref130221619"/>
      <w:bookmarkEnd w:id="152"/>
      <w:r>
        <w:rPr/>
        <w:t>Открытие доступа к заявкам</w:t>
      </w:r>
      <w:bookmarkEnd w:id="153"/>
      <w:bookmarkEnd w:id="154"/>
    </w:p>
    <w:p>
      <w:pPr>
        <w:pStyle w:val="Style26"/>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Оператор ЭП предоставляет Организатору доступ одновременно ко всем поданным заявкам в полном объеме.</w:t>
      </w:r>
    </w:p>
    <w:p>
      <w:pPr>
        <w:pStyle w:val="Style26"/>
        <w:rPr/>
      </w:pPr>
      <w:r>
        <w:rPr/>
        <w:t>Порядок получения Участниками информации о поступивших заявках через ЭП определяется Регламентом ЭП.</w:t>
      </w:r>
    </w:p>
    <w:p>
      <w:pPr>
        <w:pStyle w:val="Style25"/>
        <w:rPr/>
      </w:pPr>
      <w:bookmarkStart w:id="155" w:name="_Ref125364340"/>
      <w:bookmarkStart w:id="156" w:name="_Toc186223998"/>
      <w:bookmarkStart w:id="157" w:name="_Ref135749133"/>
      <w:bookmarkStart w:id="158" w:name="_Ref125366689"/>
      <w:bookmarkStart w:id="159" w:name="_Ref125362364"/>
      <w:bookmarkEnd w:id="155"/>
      <w:r>
        <w:rPr/>
        <w:t>Рассмотрение заявок (отборочная стадия)</w:t>
      </w:r>
      <w:bookmarkEnd w:id="158"/>
      <w:bookmarkEnd w:id="159"/>
      <w:r>
        <w:rPr/>
        <w:t>, в том числе (при необходимости) проведение аккредитации</w:t>
      </w:r>
      <w:bookmarkEnd w:id="156"/>
      <w:bookmarkEnd w:id="157"/>
    </w:p>
    <w:p>
      <w:pPr>
        <w:pStyle w:val="Style26"/>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6"/>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6"/>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6"/>
        <w:keepNext w:val="true"/>
        <w:rPr/>
      </w:pPr>
      <w:r>
        <w:rPr/>
        <w:t>При выявлении в рамках рассмотрения заявок наличия арифметических ошибок, в том числе:</w:t>
      </w:r>
    </w:p>
    <w:p>
      <w:pPr>
        <w:pStyle w:val="Style27"/>
        <w:rPr/>
      </w:pPr>
      <w:r>
        <w:rPr/>
        <w:t>в результате суммирования единичных расценок;</w:t>
      </w:r>
    </w:p>
    <w:p>
      <w:pPr>
        <w:pStyle w:val="Style27"/>
        <w:rPr/>
      </w:pPr>
      <w:r>
        <w:rPr/>
        <w:t>в итогах умножения единичных расценок на объем продукции;</w:t>
      </w:r>
    </w:p>
    <w:p>
      <w:pPr>
        <w:pStyle w:val="Style27"/>
        <w:rPr/>
      </w:pPr>
      <w:r>
        <w:rPr/>
        <w:t>в вычислении суммы НДС и итоговой стоимости заявки с учетом НДС;</w:t>
      </w:r>
    </w:p>
    <w:p>
      <w:pPr>
        <w:pStyle w:val="Style27"/>
        <w:rPr/>
      </w:pPr>
      <w:r>
        <w:rPr/>
        <w:t>иных внутренних противоречий в составе заявки,</w:t>
      </w:r>
    </w:p>
    <w:p>
      <w:pPr>
        <w:pStyle w:val="Style30"/>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6"/>
        <w:keepNext w:val="true"/>
        <w:rPr/>
      </w:pPr>
      <w:bookmarkStart w:id="160"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60"/>
    </w:p>
    <w:p>
      <w:pPr>
        <w:pStyle w:val="Style27"/>
        <w:rPr/>
      </w:pPr>
      <w:r>
        <w:rPr/>
        <w:t>несоответствие по составу, содержанию и соблюдению требований Документации о закупке к подготовке (оформлению) заявки, в том числе наличие:</w:t>
      </w:r>
    </w:p>
    <w:p>
      <w:pPr>
        <w:pStyle w:val="Style28"/>
        <w:rPr/>
      </w:pPr>
      <w:r>
        <w:rPr/>
        <w:t>недостоверных сведений</w:t>
      </w:r>
      <w:r>
        <w:rPr>
          <w:rStyle w:val="FootnoteReference"/>
        </w:rPr>
        <w:footnoteReference w:id="5"/>
      </w:r>
      <w:r>
        <w:rPr/>
        <w:t xml:space="preserve"> или намеренно искаженной информации или документов;</w:t>
      </w:r>
    </w:p>
    <w:p>
      <w:pPr>
        <w:pStyle w:val="Style28"/>
        <w:rPr/>
      </w:pPr>
      <w:r>
        <w:rPr/>
        <w:t>внутренних противоречий между различными частями и (или) документами заявки, в том числе по тексту внутри одного документа;</w:t>
      </w:r>
    </w:p>
    <w:p>
      <w:pPr>
        <w:pStyle w:val="Style28"/>
        <w:rPr/>
      </w:pPr>
      <w:r>
        <w:rPr/>
        <w:t>противоречий между документами заявки и сведениями, указанными Участником в структурированных формах на ЭП;</w:t>
      </w:r>
    </w:p>
    <w:p>
      <w:pPr>
        <w:pStyle w:val="Style27"/>
        <w:rPr/>
      </w:pPr>
      <w:r>
        <w:rPr/>
        <w:t>несоответствие Участников требованиям Документации о закупке;</w:t>
      </w:r>
    </w:p>
    <w:p>
      <w:pPr>
        <w:pStyle w:val="Style27"/>
        <w:rPr/>
      </w:pPr>
      <w:r>
        <w:rPr/>
        <w:t>несоответствие привлекаемых субподрядчиков (соисполнителей) требованиям Документации о закупке;</w:t>
      </w:r>
    </w:p>
    <w:p>
      <w:pPr>
        <w:pStyle w:val="Style27"/>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7"/>
        <w:rPr/>
      </w:pPr>
      <w:r>
        <w:rPr/>
        <w:t>несоответствие предлагаемых договорных условий требованиям Документации о закупке, в том числе превышение стоимости заявки (цены Договора) – первой ценовой ставки, над установленным размером НМЦ;</w:t>
      </w:r>
    </w:p>
    <w:p>
      <w:pPr>
        <w:pStyle w:val="Style27"/>
        <w:rPr/>
      </w:pPr>
      <w:r>
        <w:rPr/>
        <w:t>несоответствие размера, формы, условий и порядка предоставления обеспечения заявки.</w:t>
      </w:r>
    </w:p>
    <w:p>
      <w:pPr>
        <w:pStyle w:val="Style26"/>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6"/>
      </w:r>
      <w:r>
        <w:rPr/>
        <w:t>:</w:t>
      </w:r>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идентификационные номера Участников, присваиваемые Оператором ЭП;</w:t>
      </w:r>
    </w:p>
    <w:p>
      <w:pPr>
        <w:pStyle w:val="Style27"/>
        <w:keepNext w:val="true"/>
        <w:rPr/>
      </w:pPr>
      <w:r>
        <w:rPr/>
        <w:t>результаты рассмотрения заявок с указанием, в том числе:</w:t>
      </w:r>
    </w:p>
    <w:p>
      <w:pPr>
        <w:pStyle w:val="Style28"/>
        <w:rPr/>
      </w:pPr>
      <w:r>
        <w:rPr/>
        <w:t>количества заявок, которые были отклонены;</w:t>
      </w:r>
    </w:p>
    <w:p>
      <w:pPr>
        <w:pStyle w:val="Style28"/>
        <w:rPr/>
      </w:pPr>
      <w:r>
        <w:rPr/>
        <w:t>оснований отклонения каждой заявки с указанием положений Документации о закупке, которым не соответствует такая заявка;</w:t>
      </w:r>
    </w:p>
    <w:p>
      <w:pPr>
        <w:pStyle w:val="Style27"/>
        <w:rPr/>
      </w:pPr>
      <w:r>
        <w:rPr/>
        <w:t>причины, по которым закупка признана несостоявшейся в соответствии с подразделом </w:t>
      </w:r>
      <w:r>
        <w:rPr/>
        <w:fldChar w:fldCharType="begin"/>
      </w:r>
      <w:r>
        <w:rPr/>
        <w:instrText xml:space="preserve"> REF _Ref186215888 \r \h </w:instrText>
      </w:r>
      <w:r>
        <w:rPr/>
        <w:fldChar w:fldCharType="separate"/>
      </w:r>
      <w:r>
        <w:rPr/>
        <w:t>4.15</w:t>
      </w:r>
      <w:r>
        <w:rPr/>
        <w:fldChar w:fldCharType="end"/>
      </w:r>
      <w:r>
        <w:rPr/>
        <w:t xml:space="preserve"> (в случае ее признания таковой);</w:t>
      </w:r>
    </w:p>
    <w:p>
      <w:pPr>
        <w:pStyle w:val="Style27"/>
        <w:rPr/>
      </w:pPr>
      <w:bookmarkStart w:id="161" w:name="_Ref125551524"/>
      <w:r>
        <w:rPr/>
        <w:t>решение о проведении или непроведении переторжки,</w:t>
      </w:r>
      <w:bookmarkEnd w:id="161"/>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 но в любом случае до начала проведения аукциона.</w:t>
      </w:r>
    </w:p>
    <w:p>
      <w:pPr>
        <w:pStyle w:val="Style26"/>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6"/>
        <w:rPr/>
      </w:pPr>
      <w:r>
        <w:rPr/>
        <w:t>Если рассмотрение заявок и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6"/>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5"/>
        <w:rPr/>
      </w:pPr>
      <w:bookmarkStart w:id="162" w:name="_Toc186223999"/>
      <w:bookmarkStart w:id="163" w:name="_Ref125362610"/>
      <w:bookmarkStart w:id="164" w:name="_Ref125362464"/>
      <w:bookmarkStart w:id="165" w:name="_Ref125362425"/>
      <w:bookmarkStart w:id="166" w:name="_Ref125362381"/>
      <w:r>
        <w:rPr/>
        <w:t>Дополнительные запросы разъяснений заявок</w:t>
      </w:r>
      <w:bookmarkEnd w:id="162"/>
      <w:bookmarkEnd w:id="163"/>
      <w:bookmarkEnd w:id="164"/>
      <w:bookmarkEnd w:id="165"/>
      <w:bookmarkEnd w:id="166"/>
    </w:p>
    <w:p>
      <w:pPr>
        <w:pStyle w:val="Style26"/>
        <w:rPr/>
      </w:pPr>
      <w:bookmarkStart w:id="167" w:name="_Ref125365611"/>
      <w:r>
        <w:rPr/>
        <w:t>В рамках процедуры рассмотрения заявок Организатор вправе направить в адрес Участника дополнительный запрос разъяснений и (или) дополнений его заявки, влияющих на отклонение, в следующих случаях:</w:t>
      </w:r>
      <w:bookmarkEnd w:id="167"/>
    </w:p>
    <w:p>
      <w:pPr>
        <w:pStyle w:val="Style27"/>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8"/>
        <w:rPr/>
      </w:pPr>
      <w:r>
        <w:rPr/>
        <w:t>соответствия Участника требованиям Документации о закупке;</w:t>
      </w:r>
    </w:p>
    <w:p>
      <w:pPr>
        <w:pStyle w:val="Style28"/>
        <w:rPr/>
      </w:pPr>
      <w:r>
        <w:rPr/>
        <w:t>наличия соответствующих полномочий на подписание заявки от имени Участника у лица, подписавшего заявку;</w:t>
      </w:r>
    </w:p>
    <w:p>
      <w:pPr>
        <w:pStyle w:val="Style28"/>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7"/>
        <w:rPr/>
      </w:pPr>
      <w:bookmarkStart w:id="168"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7"/>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w:t>
      </w:r>
      <w:bookmarkEnd w:id="168"/>
    </w:p>
    <w:p>
      <w:pPr>
        <w:pStyle w:val="Style26"/>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6"/>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6"/>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6"/>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6"/>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6"/>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6"/>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5"/>
        <w:rPr/>
      </w:pPr>
      <w:bookmarkStart w:id="169" w:name="_Toc186224000"/>
      <w:bookmarkStart w:id="170" w:name="_Ref149223728"/>
      <w:r>
        <w:rPr/>
        <w:t>Проведение аукциона</w:t>
      </w:r>
      <w:bookmarkEnd w:id="169"/>
      <w:bookmarkEnd w:id="170"/>
    </w:p>
    <w:p>
      <w:pPr>
        <w:pStyle w:val="Style26"/>
        <w:rPr/>
      </w:pPr>
      <w:r>
        <w:rPr/>
        <w:t>Процедура аукциона проводится на ЭП в порядке, предусмотренном настоящим подразделом и Регламентом ЭП.</w:t>
      </w:r>
    </w:p>
    <w:p>
      <w:pPr>
        <w:pStyle w:val="Style26"/>
        <w:rPr/>
      </w:pPr>
      <w:r>
        <w:rPr/>
        <w:t>Оператор ЭП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p>
    <w:p>
      <w:pPr>
        <w:pStyle w:val="Style26"/>
        <w:rPr/>
      </w:pPr>
      <w:r>
        <w:rPr/>
        <w:t>В аукционе могут участвовать только Участники, заявки которых были признаны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w:t>
      </w:r>
    </w:p>
    <w:p>
      <w:pPr>
        <w:pStyle w:val="Style26"/>
        <w:rPr/>
      </w:pPr>
      <w:r>
        <w:rPr/>
        <w:t>Дата и время проведения аукциона установлены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их, официально разместив информацию об этом.</w:t>
      </w:r>
    </w:p>
    <w:p>
      <w:pPr>
        <w:pStyle w:val="Style26"/>
        <w:rPr/>
      </w:pPr>
      <w:r>
        <w:rPr/>
        <w:t>Аукцион проводится путем снижения НМЦ, а затем текущей минимальной ценовой ставки – на произвольную величину в пределах «шага аукциона» (подраздел </w:t>
      </w:r>
      <w:r>
        <w:rPr/>
        <w:fldChar w:fldCharType="begin"/>
      </w:r>
      <w:r>
        <w:rPr/>
        <w:instrText xml:space="preserve"> REF _Ref125359973 \r \h </w:instrText>
      </w:r>
      <w:r>
        <w:rPr/>
        <w:fldChar w:fldCharType="separate"/>
      </w:r>
      <w:r>
        <w:rPr/>
        <w:t>1.2</w:t>
      </w:r>
      <w:r>
        <w:rPr/>
        <w:fldChar w:fldCharType="end"/>
      </w:r>
      <w:r>
        <w:rPr/>
        <w:t>). Снижение стоимости заявки на величину, меньше «шага аукциона», не допускается. Снижение стоимости заявки на величину, превышающую «шаг аукциона», не допускается.</w:t>
      </w:r>
    </w:p>
    <w:p>
      <w:pPr>
        <w:pStyle w:val="Style26"/>
        <w:rPr/>
      </w:pPr>
      <w:r>
        <w:rPr/>
        <w:t>Аукцион проводится однократно,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p>
    <w:p>
      <w:pPr>
        <w:pStyle w:val="Style26"/>
        <w:rPr/>
      </w:pPr>
      <w:r>
        <w:rPr/>
        <w:t>Участники подают ценовые ставки анонимно для других Участников под присвоенными им Оператором ЭП идентификационными номерами.</w:t>
      </w:r>
    </w:p>
    <w:p>
      <w:pPr>
        <w:pStyle w:val="Style26"/>
        <w:rPr/>
      </w:pPr>
      <w:r>
        <w:rPr/>
        <w:t>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p>
    <w:p>
      <w:pPr>
        <w:pStyle w:val="Style26"/>
        <w:rPr/>
      </w:pPr>
      <w:r>
        <w:rPr/>
        <w:t>Каждая новая ценовая ставка Участника должна быть меньше предыдущей и меньше стоимости заявки (цены Договора), указанной им в Письме о подаче оферты (форма 2) (</w:t>
      </w:r>
      <w:hyperlink w:anchor="Прил04_ФормыЗаявки">
        <w:r>
          <w:rPr>
            <w:rStyle w:val="Style14"/>
          </w:rPr>
          <w:t>Приложение № 4</w:t>
        </w:r>
      </w:hyperlink>
      <w:r>
        <w:rPr/>
        <w:t>), а также не должна равняться нулю. Изменение стоимости заявки, предлагаемой Участником в 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Заказчика, описанных в Документации о закупке, коммерческих интересов Заказчика.</w:t>
      </w:r>
    </w:p>
    <w:p>
      <w:pPr>
        <w:pStyle w:val="Style26"/>
        <w:rPr/>
      </w:pPr>
      <w:r>
        <w:rPr/>
        <w:t>Если в ходе аукциона стоимость заявки снижена до нуля, ход аукциона на понижение стоимости автоматически, без изменения состава Участников, переходит на повышение стоимости заявки.</w:t>
      </w:r>
    </w:p>
    <w:p>
      <w:pPr>
        <w:pStyle w:val="Style26"/>
        <w:rPr/>
      </w:pPr>
      <w:r>
        <w:rPr/>
        <w:t>Прием ценовых ставок от Участников прекращается в момент окончания процедуры аукциона. При этом Участникам, занявшим 2 (второе) место и ниже в ранжировке заявок по окончанию аукциона, предлагается в течение ограниченного времени (не более 30 (тридцати) минут с момента завершения процедуры аукциона) дополнительная возможность снижения стоимости своей заявки в целях борьбы за 2 (второе) место, независимо от «шага аукциона», но не более чем до значения ценовой ставки Участника с наилучшим ценовым предложением.</w:t>
      </w:r>
    </w:p>
    <w:p>
      <w:pPr>
        <w:pStyle w:val="Style26"/>
        <w:rPr/>
      </w:pPr>
      <w:r>
        <w:rPr/>
        <w:t>Участник, признанный Победителем (подавший наилучшее ценовое предложение),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_Ref172285309 \r \h </w:instrText>
      </w:r>
      <w:r>
        <w:rPr/>
        <w:fldChar w:fldCharType="separate"/>
      </w:r>
      <w:r>
        <w:rPr/>
        <w:t>4.11.13</w:t>
      </w:r>
      <w:r>
        <w:rPr/>
        <w:fldChar w:fldCharType="end"/>
      </w:r>
      <w:r>
        <w:rPr/>
        <w:t>, подлежащие корректировке в строгом соответствии с заявленной им в ходе проведения аукциона ценовой ставкой.</w:t>
      </w:r>
    </w:p>
    <w:p>
      <w:pPr>
        <w:pStyle w:val="Style26"/>
        <w:keepNext w:val="true"/>
        <w:rPr/>
      </w:pPr>
      <w:bookmarkStart w:id="171" w:name="_Ref172285309"/>
      <w:r>
        <w:rPr/>
        <w:t>Документы заявки, подлежащие корректировке по результатам аукциона:</w:t>
      </w:r>
      <w:bookmarkEnd w:id="171"/>
    </w:p>
    <w:p>
      <w:pPr>
        <w:pStyle w:val="Style27"/>
        <w:rPr/>
      </w:pPr>
      <w:r>
        <w:rPr/>
        <w:t>Письмо о подаче оферты (форма 2) (</w:t>
      </w:r>
      <w:hyperlink w:anchor="Прил04_ФормыЗаявки">
        <w:r>
          <w:rPr>
            <w:rStyle w:val="Style14"/>
          </w:rPr>
          <w:t>Приложение № 4</w:t>
        </w:r>
      </w:hyperlink>
      <w:r>
        <w:rPr/>
        <w:t>);</w:t>
      </w:r>
    </w:p>
    <w:p>
      <w:pPr>
        <w:pStyle w:val="Style27"/>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7"/>
        <w:rPr/>
      </w:pPr>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5"/>
        <w:rPr/>
      </w:pPr>
      <w:bookmarkStart w:id="172" w:name="_Toc186224001"/>
      <w:bookmarkStart w:id="173" w:name="_Ref125369308"/>
      <w:bookmarkStart w:id="174" w:name="_Ref125369041"/>
      <w:bookmarkStart w:id="175" w:name="_Ref125366534"/>
      <w:bookmarkStart w:id="176" w:name="_Ref125365519"/>
      <w:bookmarkStart w:id="177" w:name="_Ref125365335"/>
      <w:bookmarkStart w:id="178" w:name="_Ref125362626"/>
      <w:r>
        <w:rPr/>
        <w:t>Оценка и сопоставление заявок</w:t>
      </w:r>
      <w:bookmarkEnd w:id="172"/>
      <w:bookmarkEnd w:id="173"/>
      <w:bookmarkEnd w:id="174"/>
      <w:bookmarkEnd w:id="175"/>
      <w:bookmarkEnd w:id="176"/>
      <w:bookmarkEnd w:id="177"/>
      <w:bookmarkEnd w:id="178"/>
    </w:p>
    <w:p>
      <w:pPr>
        <w:pStyle w:val="Style26"/>
        <w:rPr/>
      </w:pPr>
      <w:r>
        <w:rPr/>
        <w:t>Оценка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то есть:</w:t>
      </w:r>
    </w:p>
    <w:p>
      <w:pPr>
        <w:pStyle w:val="Style27"/>
        <w:rPr/>
      </w:pPr>
      <w:r>
        <w:rPr/>
        <w:t>в соответствии с единственным ценовым критерием оценки (критерием выбора Победителя) – стоимость заявки (цена Договора);</w:t>
      </w:r>
    </w:p>
    <w:p>
      <w:pPr>
        <w:pStyle w:val="Style27"/>
        <w:rPr/>
      </w:pPr>
      <w:r>
        <w:rPr/>
        <w:t>в едином базисе без учета НДС.</w:t>
      </w:r>
    </w:p>
    <w:p>
      <w:pPr>
        <w:pStyle w:val="Style26"/>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_Ref186216127 \r \h </w:instrText>
      </w:r>
      <w:r>
        <w:rPr/>
        <w:fldChar w:fldCharType="separate"/>
      </w:r>
      <w:r>
        <w:rPr/>
        <w:t>4.13</w:t>
      </w:r>
      <w:r>
        <w:rPr/>
        <w:fldChar w:fldCharType="end"/>
      </w:r>
      <w:r>
        <w:rPr/>
        <w:t>).</w:t>
      </w:r>
    </w:p>
    <w:p>
      <w:pPr>
        <w:pStyle w:val="Style26"/>
        <w:rPr/>
      </w:pPr>
      <w:r>
        <w:rPr/>
        <w:t>По результатам оценки заявок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FootnoteReference"/>
        </w:rPr>
        <w:footnoteReference w:id="8"/>
      </w:r>
      <w:r>
        <w:rPr/>
        <w:t>.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bookmarkStart w:id="179" w:name="_Ref130458671"/>
      <w:bookmarkStart w:id="180" w:name="_Ref125370507"/>
      <w:bookmarkStart w:id="181" w:name="_Ref125369991"/>
      <w:bookmarkStart w:id="182" w:name="_Ref125366064"/>
      <w:bookmarkEnd w:id="179"/>
      <w:bookmarkEnd w:id="180"/>
      <w:bookmarkEnd w:id="181"/>
      <w:bookmarkEnd w:id="182"/>
      <w:r>
        <w:rPr/>
        <w:t>Результаты оценки и сопоставления заявок вносятся в итоговый протокол по результатам закупки.</w:t>
      </w:r>
    </w:p>
    <w:p>
      <w:pPr>
        <w:pStyle w:val="Style25"/>
        <w:rPr/>
      </w:pPr>
      <w:bookmarkStart w:id="183" w:name="_Ref130458671"/>
      <w:bookmarkStart w:id="184" w:name="_Ref125370507"/>
      <w:bookmarkStart w:id="185" w:name="_Ref125369991"/>
      <w:bookmarkStart w:id="186" w:name="_Ref125366064"/>
      <w:bookmarkStart w:id="187" w:name="_Ref125367242"/>
      <w:bookmarkStart w:id="188" w:name="_Ref125366091"/>
      <w:bookmarkStart w:id="189" w:name="_Ref125362658"/>
      <w:bookmarkStart w:id="190" w:name="_Toc186224002"/>
      <w:bookmarkStart w:id="191" w:name="_Ref132894111"/>
      <w:bookmarkStart w:id="192" w:name="_Ref132894106"/>
      <w:bookmarkStart w:id="193" w:name="_Ref130985951"/>
      <w:bookmarkStart w:id="194" w:name="_Ref186216127"/>
      <w:bookmarkEnd w:id="183"/>
      <w:bookmarkEnd w:id="184"/>
      <w:bookmarkEnd w:id="185"/>
      <w:bookmarkEnd w:id="186"/>
      <w:r>
        <w:rPr/>
        <w:t>Применение законодательства о национальном режиме</w:t>
      </w:r>
      <w:bookmarkEnd w:id="190"/>
      <w:bookmarkEnd w:id="191"/>
      <w:bookmarkEnd w:id="192"/>
      <w:bookmarkEnd w:id="193"/>
      <w:bookmarkEnd w:id="194"/>
    </w:p>
    <w:p>
      <w:pPr>
        <w:pStyle w:val="Style26"/>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6"/>
        <w:rPr/>
      </w:pPr>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5"/>
        <w:rPr/>
      </w:pPr>
      <w:bookmarkStart w:id="195" w:name="_Ref125367242"/>
      <w:bookmarkStart w:id="196" w:name="_Ref125366091"/>
      <w:bookmarkStart w:id="197" w:name="_Ref125362658"/>
      <w:bookmarkStart w:id="198" w:name="_Toc186224003"/>
      <w:bookmarkStart w:id="199" w:name="_Toc186216759"/>
      <w:bookmarkStart w:id="200" w:name="_Toc186216758"/>
      <w:bookmarkStart w:id="201" w:name="_Toc186216757"/>
      <w:bookmarkStart w:id="202" w:name="_Toc186216756"/>
      <w:bookmarkStart w:id="203" w:name="_Toc186216755"/>
      <w:bookmarkStart w:id="204" w:name="_Toc186216754"/>
      <w:bookmarkStart w:id="205" w:name="_Toc186216753"/>
      <w:bookmarkStart w:id="206" w:name="_Toc186216752"/>
      <w:bookmarkStart w:id="207" w:name="_Toc186216751"/>
      <w:bookmarkStart w:id="208" w:name="_Toc186216750"/>
      <w:bookmarkStart w:id="209" w:name="_Toc186216749"/>
      <w:bookmarkStart w:id="210" w:name="_Toc186216748"/>
      <w:bookmarkStart w:id="211" w:name="_Toc186216747"/>
      <w:bookmarkStart w:id="212" w:name="_Toc186216746"/>
      <w:bookmarkStart w:id="213" w:name="_Toc186216745"/>
      <w:bookmarkStart w:id="214" w:name="_Toc186216744"/>
      <w:bookmarkStart w:id="215" w:name="_Toc186216743"/>
      <w:bookmarkStart w:id="216" w:name="_Toc186216742"/>
      <w:bookmarkStart w:id="217" w:name="_Toc186216741"/>
      <w:bookmarkStart w:id="218" w:name="_Toc186216740"/>
      <w:bookmarkStart w:id="219" w:name="_Toc186216739"/>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Pr/>
        <w:t>Подведение итогов закупки (определение Победителя)</w:t>
      </w:r>
      <w:bookmarkEnd w:id="195"/>
      <w:bookmarkEnd w:id="196"/>
      <w:bookmarkEnd w:id="197"/>
      <w:bookmarkEnd w:id="198"/>
    </w:p>
    <w:p>
      <w:pPr>
        <w:pStyle w:val="Style26"/>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6"/>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6"/>
        <w:rPr/>
      </w:pPr>
      <w:bookmarkStart w:id="220" w:name="_Ref149653124"/>
      <w:r>
        <w:rPr/>
        <w:t>В случае непредоставления Участником, подавшим наименьшее ценовое предложение, документов своей заявки, содержащих цену Договора и подлежащих корректировке в соответствии с заявленной им в ходе проведения аукциона ценовой ставкой,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Участника, которому присвоено 2 (второе) место, с предпоследним ценовым предложением.</w:t>
      </w:r>
      <w:bookmarkEnd w:id="220"/>
    </w:p>
    <w:p>
      <w:pPr>
        <w:pStyle w:val="Style26"/>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6"/>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6"/>
        <w:keepNext w:val="true"/>
        <w:rPr/>
      </w:pPr>
      <w:bookmarkStart w:id="221"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221"/>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наименования Участников, заявки которых были допущены по результатам рассмотрения заявок, и (или) их идентификационные номера, присваиваемые Оператором ЭП;</w:t>
      </w:r>
    </w:p>
    <w:p>
      <w:pPr>
        <w:pStyle w:val="Style27"/>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8"/>
        <w:rPr/>
      </w:pPr>
      <w:r>
        <w:rPr/>
        <w:t>количества заявок, которые были отклонены;</w:t>
      </w:r>
    </w:p>
    <w:p>
      <w:pPr>
        <w:pStyle w:val="Style28"/>
        <w:rPr/>
      </w:pPr>
      <w:r>
        <w:rPr/>
        <w:t>оснований отклонения каждой заявки с указанием положений Документации о закупке, которым не соответствует такая заявка;</w:t>
      </w:r>
    </w:p>
    <w:p>
      <w:pPr>
        <w:pStyle w:val="Style27"/>
        <w:rPr/>
      </w:pPr>
      <w:r>
        <w:rPr/>
        <w:t>результаты оценки и сопоставления заявок (ранжировка заявок);</w:t>
      </w:r>
    </w:p>
    <w:p>
      <w:pPr>
        <w:pStyle w:val="Style27"/>
        <w:rPr/>
      </w:pPr>
      <w:bookmarkStart w:id="222" w:name="_Hlk149650644"/>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bookmarkEnd w:id="222"/>
      <w:r>
        <w:rPr/>
        <w:t>;</w:t>
      </w:r>
    </w:p>
    <w:p>
      <w:pPr>
        <w:pStyle w:val="Style27"/>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7"/>
        <w:rPr/>
      </w:pPr>
      <w:r>
        <w:rPr/>
        <w:t>причины, по которым закупка признана несостоявшейся (в случае ее признания таковой),</w:t>
      </w:r>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6"/>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5"/>
        <w:rPr/>
      </w:pPr>
      <w:bookmarkStart w:id="223" w:name="_Toc186224004"/>
      <w:bookmarkStart w:id="224" w:name="_Ref186215888"/>
      <w:bookmarkStart w:id="225" w:name="_Ref125366796"/>
      <w:bookmarkStart w:id="226" w:name="_Ref125366631"/>
      <w:bookmarkStart w:id="227" w:name="_Ref125365570"/>
      <w:bookmarkStart w:id="228" w:name="_Ref125365305"/>
      <w:bookmarkStart w:id="229" w:name="_Ref125364187"/>
      <w:bookmarkStart w:id="230" w:name="_Ref125364149"/>
      <w:bookmarkStart w:id="231" w:name="_Toc186216761"/>
      <w:bookmarkEnd w:id="231"/>
      <w:r>
        <w:rPr/>
        <w:t>Признание закупки несостоявшейся</w:t>
      </w:r>
      <w:bookmarkEnd w:id="223"/>
      <w:bookmarkEnd w:id="224"/>
      <w:bookmarkEnd w:id="225"/>
      <w:bookmarkEnd w:id="226"/>
      <w:bookmarkEnd w:id="227"/>
      <w:bookmarkEnd w:id="228"/>
      <w:bookmarkEnd w:id="229"/>
      <w:bookmarkEnd w:id="230"/>
    </w:p>
    <w:p>
      <w:pPr>
        <w:pStyle w:val="Style26"/>
        <w:keepNext w:val="true"/>
        <w:rPr/>
      </w:pPr>
      <w:r>
        <w:rPr/>
        <w:t>Закупка признается несостоявшейся в следующих случаях:</w:t>
      </w:r>
    </w:p>
    <w:p>
      <w:pPr>
        <w:pStyle w:val="Style27"/>
        <w:rPr/>
      </w:pPr>
      <w:r>
        <w:rPr/>
        <w:t>если по окончанию срока подачи заявок поступило менее 2 (двух) заявок (с учетом возможных отзывов заявок);</w:t>
      </w:r>
    </w:p>
    <w:p>
      <w:pPr>
        <w:pStyle w:val="Style27"/>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6"/>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6"/>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7"/>
        <w:rPr/>
      </w:pPr>
      <w:r>
        <w:rPr/>
        <w:t>принять решение о проведении повторной закупки;</w:t>
      </w:r>
    </w:p>
    <w:p>
      <w:pPr>
        <w:pStyle w:val="Style27"/>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7"/>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5"/>
        <w:rPr/>
      </w:pPr>
      <w:bookmarkStart w:id="232" w:name="_Toc186224005"/>
      <w:bookmarkStart w:id="233" w:name="_Ref126141962"/>
      <w:r>
        <w:rPr/>
        <w:t>Отказ от проведения закупки</w:t>
      </w:r>
      <w:bookmarkEnd w:id="233"/>
      <w:r>
        <w:rPr/>
        <w:t xml:space="preserve"> (отмена закупки)</w:t>
      </w:r>
      <w:bookmarkEnd w:id="232"/>
    </w:p>
    <w:p>
      <w:pPr>
        <w:pStyle w:val="Style26"/>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6"/>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6"/>
        <w:rPr/>
      </w:pPr>
      <w:r>
        <w:rPr/>
        <w:t>Дополнительно организатор уведомляет всех Участников об отмене закупки посредством ЭП.</w:t>
      </w:r>
    </w:p>
    <w:p>
      <w:pPr>
        <w:pStyle w:val="Style26"/>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5"/>
        <w:rPr/>
      </w:pPr>
      <w:bookmarkStart w:id="234" w:name="_Ref125367087"/>
      <w:bookmarkStart w:id="235" w:name="_Ref125367083"/>
      <w:bookmarkStart w:id="236" w:name="_Ref125366769"/>
      <w:bookmarkStart w:id="237" w:name="_Ref125363439"/>
      <w:bookmarkStart w:id="238" w:name="_Ref125362671"/>
      <w:bookmarkStart w:id="239" w:name="_Ref125361212"/>
      <w:bookmarkStart w:id="240" w:name="_Ref130225422"/>
      <w:bookmarkStart w:id="241" w:name="_Toc186224006"/>
      <w:bookmarkStart w:id="242" w:name="_Ref130455226"/>
      <w:r>
        <w:rPr/>
        <w:t>Особенности проведения закупки с необходимостью обеспечения заявки</w:t>
      </w:r>
      <w:bookmarkEnd w:id="241"/>
      <w:bookmarkEnd w:id="242"/>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Обеспечение заявки должно быть зачислено в требуемом размере по реквизитам счета (подраздел </w:t>
      </w:r>
      <w:r>
        <w:rPr/>
        <w:fldChar w:fldCharType="begin"/>
      </w:r>
      <w:r>
        <w:rPr/>
        <w:instrText xml:space="preserve"> REF _Ref125359973 \r \h </w:instrText>
      </w:r>
      <w:r>
        <w:rPr/>
        <w:fldChar w:fldCharType="separate"/>
      </w:r>
      <w:r>
        <w:rPr/>
        <w:t>1.2</w:t>
      </w:r>
      <w:r>
        <w:rPr/>
        <w:fldChar w:fldCharType="end"/>
      </w:r>
      <w:r>
        <w:rP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pPr>
        <w:pStyle w:val="Style26"/>
        <w:rPr/>
      </w:pPr>
      <w:r>
        <w:rPr/>
        <w:t>При многолотовой закупке (подраздел </w:t>
      </w:r>
      <w:r>
        <w:rPr/>
        <w:fldChar w:fldCharType="begin"/>
      </w:r>
      <w:r>
        <w:rPr/>
        <w:instrText xml:space="preserve"> REF _Ref149317314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6"/>
        <w:rPr/>
      </w:pPr>
      <w:r>
        <w:rPr/>
        <w:t>Подать заявку (принять участие в закупке) могут только Участники, предоставившие надлежащее обеспечение их заявок.</w:t>
      </w:r>
    </w:p>
    <w:p>
      <w:pPr>
        <w:pStyle w:val="Style26"/>
        <w:rPr/>
      </w:pPr>
      <w:r>
        <w:rPr/>
        <w:t>Требование об обеспечении заявки в равной мере распространяется на всех Участников.</w:t>
      </w:r>
    </w:p>
    <w:p>
      <w:pPr>
        <w:pStyle w:val="Style26"/>
        <w:keepNext w:val="true"/>
        <w:rPr/>
      </w:pPr>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pPr>
        <w:pStyle w:val="Style27"/>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7"/>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6"/>
        <w:rPr/>
      </w:pPr>
      <w:r>
        <w:rPr/>
        <w:t>В случае невыполнения Победителем указанных выше обязательств Организатор вправе удержать обеспечение заявки.</w:t>
      </w:r>
    </w:p>
    <w:p>
      <w:pPr>
        <w:pStyle w:val="Style26"/>
        <w:keepNext w:val="true"/>
        <w:rPr/>
      </w:pPr>
      <w:r>
        <w:rPr/>
        <w:t>Возврат обеспечения заявки осуществляется Организатором в срок не более 20 (двадцати) рабочих дней с даты:</w:t>
      </w:r>
    </w:p>
    <w:p>
      <w:pPr>
        <w:pStyle w:val="Style27"/>
        <w:rPr/>
      </w:pPr>
      <w:r>
        <w:rPr/>
        <w:t>принятия решения об отказе от проведения закупки – всем Участникам, подавшим заявки к моменту принятия такого решения;</w:t>
      </w:r>
    </w:p>
    <w:p>
      <w:pPr>
        <w:pStyle w:val="Style27"/>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7"/>
        <w:rPr/>
      </w:pPr>
      <w:r>
        <w:rPr/>
        <w:t>официального размещения протокола рассмотрения заявок (при условии его оформления) – Участникам, чьи заявки были отклонены;</w:t>
      </w:r>
    </w:p>
    <w:p>
      <w:pPr>
        <w:pStyle w:val="Style27"/>
        <w:rPr/>
      </w:pPr>
      <w:r>
        <w:rPr/>
        <w:t>официального размещения итогового протокола по результатам закупки – всем Участникам, кроме Победителя;</w:t>
      </w:r>
    </w:p>
    <w:p>
      <w:pPr>
        <w:pStyle w:val="Style27"/>
        <w:rPr/>
      </w:pPr>
      <w:r>
        <w:rPr/>
        <w:t>заключения Договора по результатам закупки – Победителю, с которым заключен Договор;</w:t>
      </w:r>
    </w:p>
    <w:p>
      <w:pPr>
        <w:pStyle w:val="Style27"/>
        <w:rPr/>
      </w:pPr>
      <w:r>
        <w:rPr/>
        <w:t>признания закупки несостоявшейся – Участнику, которому обеспечение не было возвращено по иным основаниям.</w:t>
      </w:r>
    </w:p>
    <w:p>
      <w:pPr>
        <w:pStyle w:val="Style26"/>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5"/>
        <w:rPr/>
      </w:pPr>
      <w:bookmarkStart w:id="243" w:name="_Ref130225422"/>
      <w:bookmarkStart w:id="244" w:name="_Toc186224007"/>
      <w:bookmarkStart w:id="245" w:name="_Ref149317314"/>
      <w:r>
        <w:rPr/>
        <w:t>Особенности проведения многолотовой закупки</w:t>
      </w:r>
      <w:bookmarkEnd w:id="243"/>
      <w:bookmarkEnd w:id="244"/>
      <w:bookmarkEnd w:id="245"/>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6"/>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6"/>
        <w:keepNext w:val="true"/>
        <w:rPr/>
      </w:pPr>
      <w:r>
        <w:rPr/>
        <w:t>В случае подачи заявки на несколько лотов дополнительно должны быть соблюдены следующие требования:</w:t>
      </w:r>
    </w:p>
    <w:p>
      <w:pPr>
        <w:pStyle w:val="Style27"/>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7"/>
        <w:rPr/>
      </w:pPr>
      <w: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6"/>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4"/>
        <w:rPr/>
      </w:pPr>
      <w:bookmarkStart w:id="246" w:name="_Ref125367087"/>
      <w:bookmarkStart w:id="247" w:name="_Ref125367083"/>
      <w:bookmarkStart w:id="248" w:name="_Ref125366769"/>
      <w:bookmarkStart w:id="249" w:name="_Ref125363439"/>
      <w:bookmarkStart w:id="250" w:name="_Ref125362671"/>
      <w:bookmarkStart w:id="251" w:name="_Ref125361212"/>
      <w:bookmarkStart w:id="252" w:name="_Toc186224008"/>
      <w:bookmarkStart w:id="253" w:name="_Ref130224037"/>
      <w:bookmarkStart w:id="254" w:name="_Ref126142429"/>
      <w:r>
        <w:rPr/>
        <w:t>Порядок заключения Договора</w:t>
      </w:r>
      <w:bookmarkEnd w:id="246"/>
      <w:bookmarkEnd w:id="247"/>
      <w:bookmarkEnd w:id="248"/>
      <w:bookmarkEnd w:id="249"/>
      <w:bookmarkEnd w:id="250"/>
      <w:bookmarkEnd w:id="251"/>
      <w:bookmarkEnd w:id="252"/>
      <w:bookmarkEnd w:id="253"/>
      <w:bookmarkEnd w:id="254"/>
    </w:p>
    <w:p>
      <w:pPr>
        <w:pStyle w:val="Style25"/>
        <w:rPr/>
      </w:pPr>
      <w:bookmarkStart w:id="255" w:name="_Ref135736094"/>
      <w:bookmarkStart w:id="256" w:name="_Ref125368755"/>
      <w:bookmarkStart w:id="257" w:name="_Ref125366947"/>
      <w:bookmarkStart w:id="258" w:name="_Toc186224009"/>
      <w:bookmarkStart w:id="259" w:name="_Ref139028625"/>
      <w:r>
        <w:rPr/>
        <w:t>Общие положения</w:t>
      </w:r>
      <w:bookmarkEnd w:id="258"/>
      <w:bookmarkEnd w:id="259"/>
    </w:p>
    <w:p>
      <w:pPr>
        <w:pStyle w:val="Style26"/>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5"/>
        <w:rPr/>
      </w:pPr>
      <w:bookmarkStart w:id="260" w:name="_Ref135736094"/>
      <w:bookmarkStart w:id="261" w:name="_Ref125368755"/>
      <w:bookmarkStart w:id="262" w:name="_Ref125366947"/>
      <w:bookmarkStart w:id="263" w:name="_Toc186224010"/>
      <w:bookmarkStart w:id="264" w:name="_Ref138232981"/>
      <w:r>
        <w:rPr/>
        <w:t>Заключение Договора</w:t>
      </w:r>
      <w:bookmarkEnd w:id="260"/>
      <w:bookmarkEnd w:id="261"/>
      <w:bookmarkEnd w:id="262"/>
      <w:bookmarkEnd w:id="263"/>
      <w:bookmarkEnd w:id="264"/>
    </w:p>
    <w:p>
      <w:pPr>
        <w:pStyle w:val="Style26"/>
        <w:rPr/>
      </w:pPr>
      <w:bookmarkStart w:id="265" w:name="_Ref130293821"/>
      <w:bookmarkStart w:id="266"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65"/>
      <w:bookmarkEnd w:id="266"/>
    </w:p>
    <w:p>
      <w:pPr>
        <w:pStyle w:val="Style26"/>
        <w:rPr/>
      </w:pPr>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_Ref186216127 \r \h </w:instrText>
      </w:r>
      <w:r>
        <w:rPr/>
        <w:fldChar w:fldCharType="separate"/>
      </w:r>
      <w:r>
        <w:rPr/>
        <w:t>4.13</w:t>
      </w:r>
      <w:r>
        <w:rPr/>
        <w:fldChar w:fldCharType="end"/>
      </w:r>
      <w:r>
        <w:rPr/>
        <w:t>.</w:t>
      </w:r>
    </w:p>
    <w:p>
      <w:pPr>
        <w:pStyle w:val="Style26"/>
        <w:rPr/>
      </w:pPr>
      <w:bookmarkStart w:id="267"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67"/>
    </w:p>
    <w:p>
      <w:pPr>
        <w:pStyle w:val="Style26"/>
        <w:keepNext w:val="true"/>
        <w:rPr/>
      </w:pPr>
      <w:bookmarkStart w:id="268" w:name="_Ref172285604"/>
      <w:bookmarkStart w:id="269"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269"/>
      <w:r>
        <w:rPr/>
        <w:t>:</w:t>
      </w:r>
      <w:bookmarkEnd w:id="268"/>
    </w:p>
    <w:p>
      <w:pPr>
        <w:pStyle w:val="Style27"/>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r>
        <w:rPr/>
        <w:t>документы своей заявки, подлежащие корректировке в строгом соответствии с его наилучшим ценовым предложением, заявленным в ходе проведения аукциона (подраздел </w:t>
      </w:r>
      <w:r>
        <w:rPr/>
        <w:fldChar w:fldCharType="begin"/>
      </w:r>
      <w:r>
        <w:rPr/>
        <w:instrText xml:space="preserve"> REF _Ref149223728 \r \h </w:instrText>
      </w:r>
      <w:r>
        <w:rPr/>
        <w:fldChar w:fldCharType="separate"/>
      </w:r>
      <w:r>
        <w:rPr/>
        <w:t>4.11</w:t>
      </w:r>
      <w:r>
        <w:rPr/>
        <w:fldChar w:fldCharType="end"/>
      </w:r>
      <w:r>
        <w:rPr/>
        <w:t>).</w:t>
      </w:r>
    </w:p>
    <w:p>
      <w:pPr>
        <w:pStyle w:val="Style26"/>
        <w:keepNext w:val="true"/>
        <w:rPr/>
      </w:pPr>
      <w:bookmarkStart w:id="270"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1"/>
      </w:r>
      <w:r>
        <w:rPr/>
        <w:t>:</w:t>
      </w:r>
      <w:bookmarkEnd w:id="270"/>
    </w:p>
    <w:p>
      <w:pPr>
        <w:pStyle w:val="Style27"/>
        <w:keepNext w:val="true"/>
        <w:rPr/>
      </w:pPr>
      <w:r>
        <w:rPr/>
        <w:t>для юридического лица:</w:t>
      </w:r>
    </w:p>
    <w:p>
      <w:pPr>
        <w:pStyle w:val="Style28"/>
        <w:rPr/>
      </w:pPr>
      <w:r>
        <w:rPr/>
        <w:t>копия устава в действующей редакции с отметкой ИФНС либо копия нотариально заверенного устава (с отметкой нотариуса);</w:t>
      </w:r>
    </w:p>
    <w:p>
      <w:pPr>
        <w:pStyle w:val="Style28"/>
        <w:rPr/>
      </w:pPr>
      <w:bookmarkStart w:id="271"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71"/>
    </w:p>
    <w:p>
      <w:pPr>
        <w:pStyle w:val="Style28"/>
        <w:rPr/>
      </w:pPr>
      <w:r>
        <w:rP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pPr>
        <w:pStyle w:val="Style28"/>
        <w:rPr/>
      </w:pPr>
      <w:r>
        <w:rP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pPr>
        <w:pStyle w:val="Style27"/>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7"/>
        <w:rPr/>
      </w:pPr>
      <w:r>
        <w:rPr/>
        <w:t>для физического лица: нотариально заверенная копия всех страниц документа, удостоверяющего личность (паспорта);</w:t>
      </w:r>
    </w:p>
    <w:p>
      <w:pPr>
        <w:pStyle w:val="Style27"/>
        <w:rPr/>
      </w:pPr>
      <w:bookmarkStart w:id="272"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72"/>
    </w:p>
    <w:p>
      <w:pPr>
        <w:pStyle w:val="Style26"/>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6"/>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6"/>
        <w:keepNext w:val="true"/>
        <w:rPr/>
      </w:pPr>
      <w:bookmarkStart w:id="273"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73"/>
    </w:p>
    <w:p>
      <w:pPr>
        <w:pStyle w:val="Style27"/>
        <w:rPr/>
      </w:pPr>
      <w:r>
        <w:rPr/>
        <w:t>протокол преддоговорных переговоров между Заказчиком и Победителем (при проведении таковых);</w:t>
      </w:r>
    </w:p>
    <w:p>
      <w:pPr>
        <w:pStyle w:val="Style27"/>
        <w:rPr/>
      </w:pPr>
      <w:r>
        <w:rPr/>
        <w:t>итоговый протокол по результатам закупки;</w:t>
      </w:r>
    </w:p>
    <w:p>
      <w:pPr>
        <w:pStyle w:val="Style27"/>
        <w:rPr/>
      </w:pPr>
      <w:r>
        <w:rPr/>
        <w:t>Извещение и Документация о закупке со всеми изменениями;</w:t>
      </w:r>
    </w:p>
    <w:p>
      <w:pPr>
        <w:pStyle w:val="Style27"/>
        <w:rPr/>
      </w:pPr>
      <w:r>
        <w:rPr/>
        <w:t>заявка Победителя со всеми дополнениями и разъяснениями.</w:t>
      </w:r>
    </w:p>
    <w:p>
      <w:pPr>
        <w:pStyle w:val="Style26"/>
        <w:rPr/>
      </w:pPr>
      <w:bookmarkStart w:id="274"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74"/>
    </w:p>
    <w:p>
      <w:pPr>
        <w:pStyle w:val="Style26"/>
        <w:keepNext w:val="true"/>
        <w:rPr/>
      </w:pPr>
      <w:bookmarkStart w:id="275" w:name="_Ref125552524"/>
      <w:r>
        <w:rPr/>
        <w:t>Если Договор заключается в электронной форме:</w:t>
      </w:r>
    </w:p>
    <w:p>
      <w:pPr>
        <w:pStyle w:val="Style27"/>
        <w:rPr/>
      </w:pPr>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75"/>
      <w:r>
        <w:rPr/>
        <w:t>;</w:t>
      </w:r>
    </w:p>
    <w:p>
      <w:pPr>
        <w:pStyle w:val="Style27"/>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6"/>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5"/>
        <w:rPr/>
      </w:pPr>
      <w:bookmarkStart w:id="276" w:name="_Toc186224011"/>
      <w:bookmarkStart w:id="277" w:name="_Ref125552570"/>
      <w:r>
        <w:rPr/>
        <w:t>Преддоговорные переговоры</w:t>
      </w:r>
      <w:bookmarkEnd w:id="276"/>
      <w:bookmarkEnd w:id="277"/>
    </w:p>
    <w:p>
      <w:pPr>
        <w:pStyle w:val="Style26"/>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7"/>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7"/>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7"/>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7"/>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7"/>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6"/>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6"/>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6"/>
        <w:rPr/>
      </w:pPr>
      <w:r>
        <w:rPr/>
        <w:t>Результаты преддоговорных переговоров фиксируются в форме протокола</w:t>
      </w:r>
      <w:r>
        <w:rPr>
          <w:rStyle w:val="FootnoteReference"/>
        </w:rPr>
        <w:footnoteReference w:id="12"/>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6"/>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5"/>
        <w:rPr/>
      </w:pPr>
      <w:bookmarkStart w:id="278" w:name="_Toc186224012"/>
      <w:bookmarkStart w:id="279" w:name="_Ref125367068"/>
      <w:r>
        <w:rPr/>
        <w:t>Уклонение Победителя от заключения Договора</w:t>
      </w:r>
      <w:bookmarkEnd w:id="278"/>
      <w:bookmarkEnd w:id="279"/>
    </w:p>
    <w:p>
      <w:pPr>
        <w:pStyle w:val="Style26"/>
        <w:keepNext w:val="true"/>
        <w:rPr/>
      </w:pPr>
      <w:r>
        <w:rPr/>
        <w:t>Если Победитель закупки:</w:t>
      </w:r>
    </w:p>
    <w:p>
      <w:pPr>
        <w:pStyle w:val="Style27"/>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7"/>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7"/>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7"/>
        <w:rPr/>
      </w:pPr>
      <w:r>
        <w:rPr/>
        <w:t>не предоставит в установленный Заказчиком срок документы, указанные в пункте </w:t>
      </w:r>
      <w:r>
        <w:rPr/>
        <w:fldChar w:fldCharType="begin"/>
      </w:r>
      <w:r>
        <w:rPr/>
        <w:instrText xml:space="preserve"> REF _Ref172285604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7"/>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7"/>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7"/>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7"/>
        <w:rPr/>
      </w:pPr>
      <w:r>
        <w:rPr/>
        <w:t>не выполнит другие условия, прямо предусмотренные Документацией о закупке,</w:t>
      </w:r>
    </w:p>
    <w:p>
      <w:pPr>
        <w:pStyle w:val="Style30"/>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4"/>
        <w:rPr/>
      </w:pPr>
      <w:bookmarkStart w:id="280" w:name="_Toc186224013"/>
      <w:bookmarkStart w:id="281" w:name="Прил01_ТехТребования"/>
      <w:bookmarkStart w:id="282" w:name="_Ref125370843"/>
      <w:bookmarkStart w:id="283" w:name="_Ref125370750"/>
      <w:bookmarkStart w:id="284" w:name="_Ref125370746"/>
      <w:bookmarkStart w:id="285" w:name="_Ref125370741"/>
      <w:bookmarkStart w:id="286" w:name="_Ref125370732"/>
      <w:bookmarkStart w:id="287" w:name="_Ref125364201"/>
      <w:bookmarkStart w:id="288" w:name="_Ref125364088"/>
      <w:bookmarkStart w:id="289" w:name="_Ref125363752"/>
      <w:bookmarkStart w:id="290" w:name="_Ref125363600"/>
      <w:bookmarkStart w:id="291" w:name="_Ref125363034"/>
      <w:bookmarkStart w:id="292" w:name="_Ref125363023"/>
      <w:bookmarkStart w:id="293" w:name="_Ref125363016"/>
      <w:r>
        <w:rPr/>
        <w:t>Приложение № 1 – Технические требования</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pPr>
        <w:pStyle w:val="Style25"/>
        <w:rPr/>
      </w:pPr>
      <w:bookmarkStart w:id="294" w:name="_Toc186224014"/>
      <w:r>
        <w:rPr/>
        <w:t>Пояснения к Техническим требованиям</w:t>
      </w:r>
      <w:bookmarkEnd w:id="294"/>
    </w:p>
    <w:p>
      <w:pPr>
        <w:pStyle w:val="Style26"/>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4"/>
        <w:rPr/>
      </w:pPr>
      <w:bookmarkStart w:id="295" w:name="_Toc186224015"/>
      <w:bookmarkStart w:id="296" w:name="Прил02_ПроектДоговора"/>
      <w:bookmarkStart w:id="297" w:name="_Ref125370754"/>
      <w:bookmarkStart w:id="298" w:name="_Ref125364206"/>
      <w:bookmarkStart w:id="299" w:name="_Ref125364081"/>
      <w:bookmarkStart w:id="300" w:name="_Ref125363759"/>
      <w:bookmarkStart w:id="301" w:name="_Ref125363605"/>
      <w:bookmarkStart w:id="302" w:name="_Ref125363040"/>
      <w:bookmarkStart w:id="303" w:name="_Ref125361746"/>
      <w:r>
        <w:rPr/>
        <w:t>Приложение № 2 – Проект договора</w:t>
      </w:r>
      <w:bookmarkEnd w:id="295"/>
      <w:bookmarkEnd w:id="296"/>
      <w:bookmarkEnd w:id="297"/>
      <w:bookmarkEnd w:id="298"/>
      <w:bookmarkEnd w:id="299"/>
      <w:bookmarkEnd w:id="300"/>
      <w:bookmarkEnd w:id="301"/>
      <w:bookmarkEnd w:id="302"/>
      <w:bookmarkEnd w:id="303"/>
    </w:p>
    <w:p>
      <w:pPr>
        <w:pStyle w:val="Style25"/>
        <w:rPr/>
      </w:pPr>
      <w:bookmarkStart w:id="304" w:name="_Toc186224016"/>
      <w:r>
        <w:rPr/>
        <w:t>Пояснения к Проекту договора</w:t>
      </w:r>
      <w:bookmarkEnd w:id="304"/>
    </w:p>
    <w:p>
      <w:pPr>
        <w:pStyle w:val="Style26"/>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6"/>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305" w:name="_Hlk132883778"/>
      <w:r>
        <w:rPr/>
        <w:t>как «Некритичные пункты Проекта договора»</w:t>
      </w:r>
      <w:bookmarkEnd w:id="305"/>
      <w:r>
        <w:rPr/>
        <w:t>.</w:t>
      </w:r>
    </w:p>
    <w:p>
      <w:pPr>
        <w:pStyle w:val="Style26"/>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6"/>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306" w:name="_MON_1736255517"/>
    </w:p>
    <w:p>
      <w:pPr>
        <w:pStyle w:val="Style30"/>
        <w:jc w:val="center"/>
        <w:rPr/>
      </w:pPr>
      <w:bookmarkEnd w:id="306"/>
      <w:r>
        <w:rPr/>
        <w:object>
          <v:shapetype id="_x0000_tole_rId14" coordsize="21600,21600" o:spt="ole_rId1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4" type="_x0000_tole_rId14" style="width:78pt;height:48.75pt;mso-wrap-distance-right:0pt" filled="f" o:ole="">
            <v:imagedata r:id="rId15" o:title=""/>
          </v:shape>
          <o:OLEObject Type="Embed" ProgID="Word.Document.12" ShapeID="ole_rId14" DrawAspect="Icon" ObjectID="_1563310048" r:id="rId14"/>
        </w:object>
      </w:r>
    </w:p>
    <w:p>
      <w:pPr>
        <w:sectPr>
          <w:headerReference w:type="default" r:id="rId16"/>
          <w:headerReference w:type="first" r:id="rId17"/>
          <w:footerReference w:type="default" r:id="rId18"/>
          <w:footerReference w:type="first" r:id="rId19"/>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30"/>
        <w:rPr/>
      </w:pPr>
      <w:r>
        <w:rPr/>
      </w:r>
    </w:p>
    <w:p>
      <w:pPr>
        <w:pStyle w:val="Style24"/>
        <w:rPr/>
      </w:pPr>
      <w:bookmarkStart w:id="307" w:name="_Toc186224017"/>
      <w:bookmarkStart w:id="308" w:name="Прил03_ТребованияУчастникам"/>
      <w:bookmarkStart w:id="309" w:name="_Ref125370013"/>
      <w:bookmarkStart w:id="310" w:name="_Ref125365476"/>
      <w:bookmarkStart w:id="311" w:name="_Ref125361908"/>
      <w:bookmarkStart w:id="312" w:name="_Ref125361494"/>
      <w:r>
        <w:rPr/>
        <w:t>Приложение № 3 – Требования к Участникам</w:t>
      </w:r>
      <w:bookmarkEnd w:id="307"/>
      <w:bookmarkEnd w:id="308"/>
      <w:bookmarkEnd w:id="309"/>
      <w:bookmarkEnd w:id="310"/>
      <w:bookmarkEnd w:id="311"/>
      <w:bookmarkEnd w:id="312"/>
    </w:p>
    <w:p>
      <w:pPr>
        <w:pStyle w:val="Style25"/>
        <w:rPr/>
      </w:pPr>
      <w:bookmarkStart w:id="313" w:name="_Toc186224018"/>
      <w:r>
        <w:rPr/>
        <w:t>Пояснения к требованиям к Участникам</w:t>
      </w:r>
      <w:bookmarkEnd w:id="313"/>
    </w:p>
    <w:p>
      <w:pPr>
        <w:pStyle w:val="Style26"/>
        <w:rPr/>
      </w:pPr>
      <w:bookmarkStart w:id="314"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314"/>
    </w:p>
    <w:p>
      <w:pPr>
        <w:pStyle w:val="Style25"/>
        <w:spacing w:before="360" w:after="120"/>
        <w:rPr/>
      </w:pPr>
      <w:bookmarkStart w:id="315" w:name="_Toc186224019"/>
      <w:bookmarkStart w:id="316" w:name="_Ref125370071"/>
      <w:bookmarkStart w:id="317" w:name="_Ref125370064"/>
      <w:bookmarkStart w:id="318" w:name="_Ref125370058"/>
      <w:bookmarkStart w:id="319" w:name="_Ref125369088"/>
      <w:bookmarkStart w:id="320" w:name="_Ref125368895"/>
      <w:bookmarkStart w:id="321" w:name="_Ref125368812"/>
      <w:bookmarkStart w:id="322" w:name="_Ref125366879"/>
      <w:bookmarkStart w:id="323" w:name="_Ref125361926"/>
      <w:bookmarkStart w:id="324" w:name="_Ref125361846"/>
      <w:bookmarkStart w:id="325" w:name="_Ref125361832"/>
      <w:bookmarkStart w:id="326" w:name="_Ref125361617"/>
      <w:bookmarkStart w:id="327" w:name="_Ref125361590"/>
      <w:bookmarkStart w:id="328" w:name="_Ref125361435"/>
      <w:r>
        <w:rPr/>
        <w:t>Обязательные требования</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numPr>
                <w:ilvl w:val="0"/>
                <w:numId w:val="2"/>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9" w:name="_Ref125552433"/>
            <w:bookmarkStart w:id="330" w:name="_Ref125552433"/>
            <w:bookmarkEnd w:id="330"/>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0"/>
              <w:widowControl/>
              <w:numPr>
                <w:ilvl w:val="0"/>
                <w:numId w:val="8"/>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0"/>
              <w:widowControl/>
              <w:numPr>
                <w:ilvl w:val="0"/>
                <w:numId w:val="15"/>
              </w:numPr>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0"/>
              <w:widowControl/>
              <w:numPr>
                <w:ilvl w:val="0"/>
                <w:numId w:val="8"/>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0"/>
              <w:widowControl/>
              <w:numPr>
                <w:ilvl w:val="0"/>
                <w:numId w:val="15"/>
              </w:numPr>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numPr>
                <w:ilvl w:val="0"/>
                <w:numId w:val="15"/>
              </w:numPr>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numPr>
                <w:ilvl w:val="0"/>
                <w:numId w:val="15"/>
              </w:numPr>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numPr>
                <w:ilvl w:val="0"/>
                <w:numId w:val="15"/>
              </w:numPr>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0"/>
              <w:widowControl/>
              <w:numPr>
                <w:ilvl w:val="0"/>
                <w:numId w:val="2"/>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1" w:name="_Ref139028406"/>
            <w:bookmarkStart w:id="332" w:name="_Ref139028406"/>
            <w:bookmarkEnd w:id="332"/>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30"/>
              <w:widowControl/>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0"/>
              <w:widowControl/>
              <w:numPr>
                <w:ilvl w:val="0"/>
                <w:numId w:val="2"/>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3" w:name="_Ref186216522"/>
            <w:bookmarkStart w:id="334" w:name="_Ref186216522"/>
            <w:bookmarkEnd w:id="334"/>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30"/>
              <w:widowControl/>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30"/>
              <w:widowControl/>
              <w:numPr>
                <w:ilvl w:val="0"/>
                <w:numId w:val="2"/>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5" w:name="_Ref186216526"/>
            <w:bookmarkStart w:id="336" w:name="_Ref186216526"/>
            <w:bookmarkEnd w:id="336"/>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30"/>
              <w:widowControl/>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5"/>
        <w:spacing w:before="360" w:after="120"/>
        <w:rPr/>
      </w:pPr>
      <w:bookmarkStart w:id="337" w:name="_Toc186224020"/>
      <w:bookmarkStart w:id="338" w:name="_Ref125709888"/>
      <w:bookmarkStart w:id="339" w:name="_Ref125709401"/>
      <w:bookmarkStart w:id="340" w:name="_Ref125709250"/>
      <w:bookmarkStart w:id="341" w:name="_Ref125709153"/>
      <w:bookmarkStart w:id="342" w:name="_Ref125370079"/>
      <w:bookmarkStart w:id="343" w:name="_Ref125369099"/>
      <w:bookmarkStart w:id="344" w:name="_Ref125368916"/>
      <w:bookmarkStart w:id="345" w:name="_Ref125368901"/>
      <w:bookmarkStart w:id="346" w:name="_Ref125368818"/>
      <w:bookmarkStart w:id="347" w:name="_Ref125367539"/>
      <w:bookmarkStart w:id="348" w:name="_Ref125367521"/>
      <w:bookmarkStart w:id="349" w:name="_Ref125365459"/>
      <w:bookmarkStart w:id="350" w:name="_Ref125361937"/>
      <w:bookmarkStart w:id="351" w:name="_Ref125361869"/>
      <w:bookmarkStart w:id="352" w:name="_Ref125361671"/>
      <w:bookmarkStart w:id="353" w:name="_Ref125361633"/>
      <w:bookmarkStart w:id="354" w:name="_Ref125361442"/>
      <w:r>
        <w:rPr/>
        <w:t>Специальные требования</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numPr>
                <w:ilvl w:val="0"/>
                <w:numId w:val="3"/>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widowControl w:val="fals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кредитной организацией и совершать банковские операции на основании действующей лицензии на осуществление банковских операций, выданной Центральным банком Российской Федерации.</w:t>
            </w:r>
          </w:p>
        </w:tc>
        <w:tc>
          <w:tcPr>
            <w:tcW w:w="8327" w:type="dxa"/>
            <w:tcBorders/>
          </w:tcPr>
          <w:p>
            <w:pPr>
              <w:pStyle w:val="Normal"/>
              <w:widowControl w:val="false"/>
              <w:spacing w:before="60" w:after="60"/>
              <w:jc w:val="both"/>
              <w:rPr>
                <w:sz w:val="28"/>
                <w:szCs w:val="28"/>
              </w:rPr>
            </w:pPr>
            <w:r>
              <w:rPr>
                <w:rFonts w:eastAsia="Calibri" w:cs=""/>
                <w:kern w:val="0"/>
                <w:sz w:val="26"/>
                <w:szCs w:val="22"/>
                <w:lang w:val="ru-RU" w:eastAsia="en-US" w:bidi="ar-SA"/>
              </w:rPr>
              <w:t xml:space="preserve">Заверенные участником копии соответствующих действующих лицензий участника на выполнение видов деятельности в рамках договора, подлежащих лицензированию в соответствии с действующим законодательством РФ; </w:t>
            </w:r>
          </w:p>
          <w:p>
            <w:pPr>
              <w:pStyle w:val="Style33"/>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8" w:type="dxa"/>
            <w:tcBorders/>
          </w:tcPr>
          <w:p>
            <w:pPr>
              <w:pStyle w:val="Style30"/>
              <w:widowControl/>
              <w:numPr>
                <w:ilvl w:val="0"/>
                <w:numId w:val="3"/>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widowControl w:val="fals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одобрения предоставления кредитных средств банком</w:t>
            </w:r>
          </w:p>
        </w:tc>
        <w:tc>
          <w:tcPr>
            <w:tcW w:w="8327" w:type="dxa"/>
            <w:tcBorders/>
          </w:tcPr>
          <w:p>
            <w:pPr>
              <w:pStyle w:val="Normal"/>
              <w:widowControl w:val="fals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Заверенный Участником документ, подтверждающий решение компетентного органа об одобрении предоставления кредитных средств банком</w:t>
            </w:r>
          </w:p>
        </w:tc>
      </w:tr>
    </w:tbl>
    <w:p>
      <w:pPr>
        <w:pStyle w:val="Style25"/>
        <w:spacing w:before="360" w:after="120"/>
        <w:rPr/>
      </w:pPr>
      <w:bookmarkStart w:id="355" w:name="_Toc186224021"/>
      <w:bookmarkStart w:id="356" w:name="_Ref125709895"/>
      <w:bookmarkStart w:id="357" w:name="_Ref125709541"/>
      <w:bookmarkStart w:id="358" w:name="_Ref125709256"/>
      <w:bookmarkStart w:id="359" w:name="_Ref125709154"/>
      <w:bookmarkStart w:id="360" w:name="_Ref125553681"/>
      <w:bookmarkStart w:id="361" w:name="_Ref125553475"/>
      <w:bookmarkStart w:id="362" w:name="_Ref125553296"/>
      <w:bookmarkStart w:id="363" w:name="_Ref125553242"/>
      <w:bookmarkStart w:id="364" w:name="_Ref125550353"/>
      <w:bookmarkStart w:id="365" w:name="_Ref125550270"/>
      <w:r>
        <w:rPr/>
        <w:t>Квалификационные требования</w:t>
      </w:r>
      <w:bookmarkEnd w:id="355"/>
      <w:bookmarkEnd w:id="356"/>
      <w:bookmarkEnd w:id="357"/>
      <w:bookmarkEnd w:id="358"/>
      <w:bookmarkEnd w:id="359"/>
      <w:bookmarkEnd w:id="360"/>
      <w:bookmarkEnd w:id="361"/>
      <w:bookmarkEnd w:id="362"/>
      <w:bookmarkEnd w:id="363"/>
      <w:bookmarkEnd w:id="364"/>
      <w:bookmarkEnd w:id="365"/>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numPr>
                <w:ilvl w:val="0"/>
                <w:numId w:val="10"/>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3"/>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tc>
      </w:tr>
    </w:tbl>
    <w:p>
      <w:pPr>
        <w:pStyle w:val="Style25"/>
        <w:spacing w:before="360" w:after="120"/>
        <w:rPr/>
      </w:pPr>
      <w:bookmarkStart w:id="366" w:name="_Toc186224022"/>
      <w:bookmarkStart w:id="367" w:name="_Ref125709228"/>
      <w:bookmarkStart w:id="368" w:name="_Ref125553703"/>
      <w:bookmarkStart w:id="369" w:name="_Ref125553692"/>
      <w:bookmarkStart w:id="370" w:name="_Ref125553500"/>
      <w:bookmarkStart w:id="371" w:name="_Ref125552455"/>
      <w:r>
        <w:rPr/>
        <w:t>Дополнительные требования к Коллективным участникам</w:t>
      </w:r>
      <w:bookmarkEnd w:id="366"/>
      <w:bookmarkEnd w:id="367"/>
      <w:bookmarkEnd w:id="368"/>
      <w:bookmarkEnd w:id="369"/>
      <w:bookmarkEnd w:id="370"/>
      <w:bookmarkEnd w:id="371"/>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30"/>
              <w:widowControl/>
              <w:numPr>
                <w:ilvl w:val="0"/>
                <w:numId w:val="4"/>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2" w:name="_Ref125370156"/>
            <w:bookmarkStart w:id="373" w:name="_Ref125370156"/>
            <w:bookmarkEnd w:id="373"/>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30"/>
              <w:widowControl/>
              <w:numPr>
                <w:ilvl w:val="0"/>
                <w:numId w:val="4"/>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4" w:name="_Ref125553738"/>
            <w:bookmarkStart w:id="375" w:name="_Ref125553738"/>
            <w:bookmarkEnd w:id="375"/>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30"/>
              <w:widowControl/>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numPr>
                <w:ilvl w:val="0"/>
                <w:numId w:val="4"/>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6" w:name="_Ref125370162"/>
            <w:bookmarkStart w:id="377" w:name="_Ref125370162"/>
            <w:bookmarkEnd w:id="377"/>
          </w:p>
        </w:tc>
        <w:tc>
          <w:tcPr>
            <w:tcW w:w="5671" w:type="dxa"/>
            <w:tcBorders/>
          </w:tcPr>
          <w:p>
            <w:pPr>
              <w:pStyle w:val="Style30"/>
              <w:widowControl/>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5"/>
        <w:spacing w:before="360" w:after="120"/>
        <w:rPr/>
      </w:pPr>
      <w:bookmarkStart w:id="378" w:name="_Toc186224023"/>
      <w:bookmarkStart w:id="379" w:name="_Ref125709973"/>
      <w:bookmarkStart w:id="380" w:name="_Ref125709777"/>
      <w:bookmarkStart w:id="381" w:name="_Ref125370209"/>
      <w:bookmarkStart w:id="382" w:name="_Ref125370180"/>
      <w:bookmarkStart w:id="383" w:name="_Ref125370173"/>
      <w:bookmarkStart w:id="384" w:name="_Ref125369117"/>
      <w:bookmarkStart w:id="385" w:name="_Ref125362031"/>
      <w:bookmarkStart w:id="386" w:name="_Ref125361823"/>
      <w:r>
        <w:rPr/>
        <w:t>Дополнительные требования к Генеральным подрядчикам</w:t>
      </w:r>
      <w:bookmarkEnd w:id="378"/>
      <w:bookmarkEnd w:id="379"/>
      <w:bookmarkEnd w:id="380"/>
      <w:bookmarkEnd w:id="381"/>
      <w:bookmarkEnd w:id="382"/>
      <w:bookmarkEnd w:id="383"/>
      <w:bookmarkEnd w:id="384"/>
      <w:bookmarkEnd w:id="385"/>
      <w:bookmarkEnd w:id="386"/>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numPr>
                <w:ilvl w:val="0"/>
                <w:numId w:val="5"/>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7" w:name="_Ref125370187"/>
            <w:bookmarkStart w:id="388" w:name="_Ref125370187"/>
            <w:bookmarkEnd w:id="388"/>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0"/>
              <w:widowControl/>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numPr>
                <w:ilvl w:val="0"/>
                <w:numId w:val="5"/>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9" w:name="_Ref125370199"/>
            <w:bookmarkStart w:id="390" w:name="_Ref125370199"/>
            <w:bookmarkEnd w:id="390"/>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0"/>
              <w:widowControl/>
              <w:numPr>
                <w:ilvl w:val="0"/>
                <w:numId w:val="14"/>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0"/>
              <w:widowControl/>
              <w:numPr>
                <w:ilvl w:val="0"/>
                <w:numId w:val="14"/>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0"/>
              <w:widowControl/>
              <w:numPr>
                <w:ilvl w:val="0"/>
                <w:numId w:val="5"/>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1" w:name="_Ref125370193"/>
            <w:bookmarkStart w:id="392" w:name="_Ref125370193"/>
            <w:bookmarkEnd w:id="392"/>
          </w:p>
        </w:tc>
        <w:tc>
          <w:tcPr>
            <w:tcW w:w="5671" w:type="dxa"/>
            <w:tcBorders/>
          </w:tcPr>
          <w:p>
            <w:pPr>
              <w:pStyle w:val="Style30"/>
              <w:widowControl/>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3.3.4</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0"/>
              <w:widowControl/>
              <w:numPr>
                <w:ilvl w:val="0"/>
                <w:numId w:val="5"/>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3" w:name="_Ref125553847"/>
            <w:bookmarkStart w:id="394" w:name="_Ref125553847"/>
            <w:bookmarkEnd w:id="394"/>
          </w:p>
        </w:tc>
        <w:tc>
          <w:tcPr>
            <w:tcW w:w="5671"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r>
    </w:tbl>
    <w:p>
      <w:pPr>
        <w:pStyle w:val="Style25"/>
        <w:spacing w:before="360" w:after="120"/>
        <w:rPr/>
      </w:pPr>
      <w:bookmarkStart w:id="395" w:name="_Toc186224024"/>
      <w:bookmarkStart w:id="396" w:name="_Ref125710517"/>
      <w:bookmarkStart w:id="397" w:name="_Ref125710480"/>
      <w:bookmarkStart w:id="398" w:name="_Ref125710459"/>
      <w:bookmarkStart w:id="399" w:name="_Ref125553821"/>
      <w:bookmarkStart w:id="400" w:name="_Ref125553513"/>
      <w:bookmarkStart w:id="401" w:name="_Ref125550566"/>
      <w:bookmarkStart w:id="402" w:name="_Ref125550560"/>
      <w:bookmarkStart w:id="403" w:name="_Ref125550523"/>
      <w:r>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bookmarkEnd w:id="395"/>
      <w:bookmarkEnd w:id="396"/>
      <w:bookmarkEnd w:id="397"/>
      <w:bookmarkEnd w:id="398"/>
      <w:bookmarkEnd w:id="399"/>
      <w:bookmarkEnd w:id="400"/>
      <w:bookmarkEnd w:id="401"/>
      <w:bookmarkEnd w:id="402"/>
      <w:bookmarkEnd w:id="403"/>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numPr>
                <w:ilvl w:val="0"/>
                <w:numId w:val="11"/>
              </w:numPr>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spacing w:before="60" w:after="60"/>
              <w:rPr>
                <w:lang w:val="en-US"/>
              </w:rPr>
            </w:pPr>
            <w:r>
              <w:rPr>
                <w:rFonts w:eastAsia="Calibri" w:cs=""/>
                <w:kern w:val="0"/>
                <w:sz w:val="26"/>
                <w:szCs w:val="22"/>
                <w:lang w:val="ru-RU" w:eastAsia="en-US" w:bidi="ar-SA"/>
              </w:rPr>
              <w:t>Дополнительные требования не установлены.</w:t>
            </w:r>
          </w:p>
        </w:tc>
        <w:tc>
          <w:tcPr>
            <w:tcW w:w="8327"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r>
    </w:tbl>
    <w:p>
      <w:pPr>
        <w:sectPr>
          <w:headerReference w:type="default" r:id="rId20"/>
          <w:headerReference w:type="first" r:id="rId21"/>
          <w:footerReference w:type="default" r:id="rId22"/>
          <w:footerReference w:type="first" r:id="rId2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Pr>
    </w:p>
    <w:p>
      <w:pPr>
        <w:pStyle w:val="Style24"/>
        <w:rPr/>
      </w:pPr>
      <w:bookmarkStart w:id="404" w:name="_Ref125362900"/>
      <w:bookmarkStart w:id="405" w:name="_Ref125362865"/>
      <w:bookmarkStart w:id="406" w:name="_Toc186224025"/>
      <w:bookmarkStart w:id="407" w:name="Прил04_ФормыЗаявки"/>
      <w:bookmarkEnd w:id="407"/>
      <w:r>
        <w:rPr/>
        <w:t>Приложение № 4 – Образцы форм документов, включаемых в состав заявки</w:t>
      </w:r>
      <w:bookmarkEnd w:id="406"/>
    </w:p>
    <w:p>
      <w:pPr>
        <w:pStyle w:val="Style25"/>
        <w:rPr/>
      </w:pPr>
      <w:bookmarkStart w:id="408" w:name="_Toc186224026"/>
      <w:r>
        <w:rPr/>
        <w:t>Пояснения к Образцам форм документов, включаемых в состав заявки</w:t>
      </w:r>
      <w:bookmarkEnd w:id="408"/>
    </w:p>
    <w:p>
      <w:pPr>
        <w:pStyle w:val="Style26"/>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4"/>
        <w:rPr/>
      </w:pPr>
      <w:bookmarkStart w:id="409" w:name="_Toc186224027"/>
      <w:bookmarkStart w:id="410" w:name="Прил05_ФормыПобедителя"/>
      <w:bookmarkEnd w:id="410"/>
      <w:r>
        <w:rPr/>
        <w:t>Приложение № 5 – Образцы форм документов, предоставляемых Победителем</w:t>
      </w:r>
      <w:bookmarkEnd w:id="409"/>
    </w:p>
    <w:p>
      <w:pPr>
        <w:pStyle w:val="Style25"/>
        <w:rPr/>
      </w:pPr>
      <w:bookmarkStart w:id="411" w:name="_Toc186224028"/>
      <w:r>
        <w:rPr/>
        <w:t>Пояснения к Образцам форм документов, предоставляемых Победителем</w:t>
      </w:r>
      <w:bookmarkEnd w:id="411"/>
    </w:p>
    <w:p>
      <w:pPr>
        <w:pStyle w:val="Style26"/>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5"/>
        <w:rPr/>
      </w:pPr>
      <w:bookmarkStart w:id="412" w:name="_Toc186224029"/>
      <w:bookmarkStart w:id="413" w:name="_Ref130395470"/>
      <w:r>
        <w:rPr/>
        <w:t>Форма справки «Сведения о цепочке собственников, включая бенефициаров (в том числе конечных)»</w:t>
      </w:r>
      <w:bookmarkEnd w:id="412"/>
      <w:bookmarkEnd w:id="413"/>
    </w:p>
    <w:p>
      <w:pPr>
        <w:pStyle w:val="Style26"/>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6"/>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414" w:name="_MON_1741074142"/>
    </w:p>
    <w:p>
      <w:pPr>
        <w:pStyle w:val="Style30"/>
        <w:jc w:val="center"/>
        <w:rPr/>
      </w:pPr>
      <w:bookmarkEnd w:id="414"/>
      <w:r>
        <w:rPr/>
        <w:object>
          <v:shapetype id="_x0000_tole_rId24" coordsize="21600,21600" o:spt="ole_rId2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4" type="_x0000_tole_rId24" style="width:78pt;height:48.75pt;mso-wrap-distance-right:0pt" filled="f" o:ole="">
            <v:imagedata r:id="rId25" o:title=""/>
          </v:shape>
          <o:OLEObject Type="Embed" ProgID="Word.Document.12" ShapeID="ole_rId24" DrawAspect="Icon" ObjectID="_1795359803" r:id="rId24"/>
        </w:object>
      </w:r>
    </w:p>
    <w:p>
      <w:pPr>
        <w:pStyle w:val="Style25"/>
        <w:rPr/>
      </w:pPr>
      <w:bookmarkStart w:id="415" w:name="_Toc186224030"/>
      <w:bookmarkStart w:id="416" w:name="_Ref130395475"/>
      <w:r>
        <w:rPr/>
        <w:t>Форма «Заверение об обстоятельствах»</w:t>
      </w:r>
      <w:bookmarkEnd w:id="415"/>
      <w:bookmarkEnd w:id="416"/>
    </w:p>
    <w:p>
      <w:pPr>
        <w:pStyle w:val="Style26"/>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6"/>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6"/>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6"/>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417" w:name="_MON_1741074184"/>
    </w:p>
    <w:p>
      <w:pPr>
        <w:pStyle w:val="Style30"/>
        <w:spacing w:before="120" w:after="120"/>
        <w:jc w:val="center"/>
        <w:rPr/>
      </w:pPr>
      <w:bookmarkEnd w:id="417"/>
      <w:r>
        <w:rPr/>
        <w:object>
          <v:shapetype id="_x0000_tole_rId26" coordsize="21600,21600" o:spt="ole_rId2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6" type="_x0000_tole_rId26" style="width:78pt;height:48.75pt;mso-wrap-distance-right:0pt;mso-wrap-distance-bottom:6pt" filled="f" o:ole="">
            <v:imagedata r:id="rId27" o:title=""/>
          </v:shape>
          <o:OLEObject Type="Embed" ProgID="Word.Document.12" ShapeID="ole_rId26" DrawAspect="Icon" ObjectID="_2129394321" r:id="rId26"/>
        </w:object>
      </w:r>
    </w:p>
    <w:p>
      <w:pPr>
        <w:pStyle w:val="Style24"/>
        <w:rPr/>
      </w:pPr>
      <w:bookmarkStart w:id="418" w:name="_Ref125362900"/>
      <w:bookmarkStart w:id="419" w:name="_Ref125362865"/>
      <w:bookmarkStart w:id="420" w:name="_Toc186224031"/>
      <w:bookmarkStart w:id="421" w:name="Прил06_СоставЗаявки"/>
      <w:bookmarkEnd w:id="421"/>
      <w:r>
        <w:rPr/>
        <w:t>Приложение № 6 – Состав заявки</w:t>
      </w:r>
      <w:bookmarkEnd w:id="418"/>
      <w:bookmarkEnd w:id="419"/>
      <w:bookmarkEnd w:id="420"/>
    </w:p>
    <w:p>
      <w:pPr>
        <w:pStyle w:val="Style25"/>
        <w:rPr/>
      </w:pPr>
      <w:bookmarkStart w:id="422" w:name="_Toc186224032"/>
      <w:r>
        <w:rPr/>
        <w:t>Состав заявки</w:t>
      </w:r>
      <w:bookmarkEnd w:id="422"/>
    </w:p>
    <w:p>
      <w:pPr>
        <w:pStyle w:val="Style26"/>
        <w:spacing w:before="120" w:after="120"/>
        <w:rPr/>
      </w:pPr>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4"/>
        <w:tblW w:w="8783" w:type="dxa"/>
        <w:jc w:val="left"/>
        <w:tblInd w:w="1129" w:type="dxa"/>
        <w:tblLayout w:type="fixed"/>
        <w:tblCellMar>
          <w:top w:w="0" w:type="dxa"/>
          <w:left w:w="57" w:type="dxa"/>
          <w:bottom w:w="0" w:type="dxa"/>
          <w:right w:w="57" w:type="dxa"/>
        </w:tblCellMar>
        <w:tblLook w:noVBand="1" w:val="04a0" w:noHBand="0" w:lastColumn="0" w:firstColumn="1" w:lastRow="0" w:firstRow="1"/>
      </w:tblPr>
      <w:tblGrid>
        <w:gridCol w:w="708"/>
        <w:gridCol w:w="8074"/>
      </w:tblGrid>
      <w:tr>
        <w:trPr>
          <w:cnfStyle w:val="100000000000" w:firstRow="1" w:lastRow="0" w:firstColumn="0" w:lastColumn="0" w:oddVBand="0" w:evenVBand="0" w:oddHBand="0" w:evenHBand="0" w:firstRowFirstColumn="0" w:firstRowLastColumn="0" w:lastRowFirstColumn="0" w:lastRowLastColumn="0"/>
        </w:trPr>
        <w:tc>
          <w:tcPr>
            <w:tcW w:w="708"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4"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 содержащее первую ценовую ставку Участника;</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pPr>
            <w:r>
              <w:rPr>
                <w:rFonts w:eastAsia="Calibri" w:cs=""/>
                <w:kern w:val="0"/>
                <w:sz w:val="26"/>
                <w:szCs w:val="22"/>
                <w:lang w:val="ru-RU" w:eastAsia="en-US" w:bidi="ar-SA"/>
              </w:rPr>
              <w:t xml:space="preserve">Коммерческое предложение (включая Структуру НМЦ) (форма 3), согласно первой ценовой ставки Участника;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3" w:name="_Ref130389408"/>
            <w:bookmarkStart w:id="424" w:name="_Ref130389408"/>
            <w:bookmarkEnd w:id="424"/>
          </w:p>
        </w:tc>
        <w:tc>
          <w:tcPr>
            <w:tcW w:w="8074" w:type="dxa"/>
            <w:tcBorders/>
          </w:tcPr>
          <w:p>
            <w:pPr>
              <w:pStyle w:val="Style30"/>
              <w:widowControl/>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5" w:name="_Ref130389413"/>
            <w:bookmarkStart w:id="426" w:name="_Ref130389413"/>
            <w:bookmarkEnd w:id="426"/>
          </w:p>
        </w:tc>
        <w:tc>
          <w:tcPr>
            <w:tcW w:w="8074" w:type="dxa"/>
            <w:tcBorders/>
          </w:tcPr>
          <w:p>
            <w:pPr>
              <w:pStyle w:val="Style30"/>
              <w:widowControl/>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7" w:name="_Ref130389419"/>
            <w:bookmarkStart w:id="428" w:name="_Ref130389419"/>
            <w:bookmarkEnd w:id="428"/>
          </w:p>
        </w:tc>
        <w:tc>
          <w:tcPr>
            <w:tcW w:w="8074" w:type="dxa"/>
            <w:tcBorders/>
          </w:tcPr>
          <w:p>
            <w:pPr>
              <w:pStyle w:val="Style30"/>
              <w:widowControl/>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Normal"/>
              <w:widowControl/>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30"/>
              <w:widowControl/>
              <w:numPr>
                <w:ilvl w:val="0"/>
                <w:numId w:val="9"/>
              </w:numPr>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заявок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numPr>
                <w:ilvl w:val="0"/>
                <w:numId w:val="9"/>
              </w:numPr>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pPr>
            <w:r>
              <w:rPr>
                <w:rFonts w:eastAsia="Calibri" w:cs=""/>
                <w:kern w:val="0"/>
                <w:sz w:val="26"/>
                <w:szCs w:val="22"/>
                <w:lang w:val="ru-RU" w:eastAsia="en-US" w:bidi="ar-SA"/>
              </w:rPr>
              <w:t>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_Ref125710459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предусмотрено участие в закупке Участников, которые должны привлечь к исполнению Договора субподрядчиков (соисполнителей) из числа субъектов МСП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_Ref127524203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3.4</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 План распределения объемов поставки продукции (форма 11);</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8" w:type="dxa"/>
            <w:tcBorders/>
          </w:tcPr>
          <w:p>
            <w:pPr>
              <w:pStyle w:val="Style30"/>
              <w:widowControl/>
              <w:numPr>
                <w:ilvl w:val="0"/>
                <w:numId w:val="6"/>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4"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w:t>
            </w:r>
          </w:p>
        </w:tc>
      </w:tr>
    </w:tbl>
    <w:p>
      <w:pPr>
        <w:sectPr>
          <w:headerReference w:type="default" r:id="rId28"/>
          <w:headerReference w:type="first" r:id="rId29"/>
          <w:footerReference w:type="default" r:id="rId30"/>
          <w:footerReference w:type="first" r:id="rId31"/>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6"/>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4"/>
        <w:rPr/>
      </w:pPr>
      <w:bookmarkStart w:id="429" w:name="_Toc186224033"/>
      <w:bookmarkStart w:id="430" w:name="_Ref125365264"/>
      <w:bookmarkStart w:id="431" w:name="Прил07_ОтборочныеКритерии"/>
      <w:bookmarkEnd w:id="431"/>
      <w:r>
        <w:rPr/>
        <w:t>Приложение № 7 – Отборочные критерии рассмотрения заявок</w:t>
      </w:r>
      <w:bookmarkEnd w:id="429"/>
      <w:bookmarkEnd w:id="430"/>
    </w:p>
    <w:p>
      <w:pPr>
        <w:pStyle w:val="Style25"/>
        <w:spacing w:before="360" w:after="120"/>
        <w:rPr>
          <w:rStyle w:val="Style11"/>
          <w:i w:val="false"/>
          <w:i w:val="false"/>
          <w:iCs w:val="false"/>
          <w:shd w:fill="auto" w:val="clear"/>
        </w:rPr>
      </w:pPr>
      <w:bookmarkStart w:id="432" w:name="_Toc186224034"/>
      <w:r>
        <w:rPr>
          <w:rStyle w:val="Style11"/>
          <w:i w:val="false"/>
          <w:iCs w:val="false"/>
          <w:shd w:fill="auto" w:val="clear"/>
        </w:rPr>
        <w:t>Отборочные критерии рассмотрения заявок</w:t>
      </w:r>
      <w:bookmarkEnd w:id="432"/>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0"/>
              <w:keepNext w:val="true"/>
              <w:widowControl/>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0"/>
              <w:widowControl/>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0"/>
              <w:widowControl/>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0"/>
              <w:keepNext w:val="true"/>
              <w:widowControl/>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0"/>
              <w:keepNext w:val="true"/>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keepNext w:val="true"/>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0"/>
              <w:widowControl/>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_Ref186216522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_Ref186216526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numPr>
                <w:ilvl w:val="1"/>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30"/>
              <w:widowControl/>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30"/>
              <w:widowControl/>
              <w:numPr>
                <w:ilvl w:val="1"/>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1"/>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30"/>
              <w:widowControl/>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0"/>
              <w:widowControl/>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numPr>
                <w:ilvl w:val="1"/>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1"/>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numPr>
                <w:ilvl w:val="0"/>
                <w:numId w:val="9"/>
              </w:numPr>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с обязательным привлечением субподрядчиков (соисполнителей) из числа субъектов МСП установленным в отношении его требованиям</w:t>
            </w:r>
          </w:p>
          <w:p>
            <w:pPr>
              <w:pStyle w:val="Style30"/>
              <w:widowControl/>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участвовать в которой могут только лица, обязанные привлечь к исполнению Договора субподрядчиков (соисполнителей) из числа субъектов МСП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_Ref127524203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_Ref125550523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8.7</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0"/>
              <w:keepNext w:val="true"/>
              <w:widowControl/>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keepNext w:val="true"/>
              <w:widowControl/>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_Ref186216127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_Ref186216127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30"/>
              <w:widowControl/>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0"/>
              <w:widowControl/>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30"/>
              <w:widowControl/>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0"/>
              <w:keepNext w:val="true"/>
              <w:widowControl/>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0"/>
              <w:widowControl/>
              <w:numPr>
                <w:ilvl w:val="0"/>
                <w:numId w:val="7"/>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0"/>
              <w:widowControl/>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5"/>
        <w:rPr>
          <w:rStyle w:val="Style11"/>
          <w:i w:val="false"/>
          <w:i w:val="false"/>
          <w:iCs w:val="false"/>
          <w:shd w:fill="auto" w:val="clear"/>
        </w:rPr>
      </w:pPr>
      <w:bookmarkStart w:id="433" w:name="_Toc186224035"/>
      <w:r>
        <w:rPr>
          <w:rStyle w:val="Style11"/>
          <w:i w:val="false"/>
          <w:iCs w:val="false"/>
          <w:shd w:fill="auto" w:val="clear"/>
        </w:rPr>
        <w:t>Дополнительные критерии проверки заявок на соответствие условиям Документации о закупке</w:t>
      </w:r>
      <w:bookmarkEnd w:id="433"/>
    </w:p>
    <w:p>
      <w:pPr>
        <w:pStyle w:val="Style30"/>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4"/>
        <w:tblW w:w="15126" w:type="dxa"/>
        <w:jc w:val="left"/>
        <w:tblInd w:w="0"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0"/>
              <w:widowControl/>
              <w:numPr>
                <w:ilvl w:val="0"/>
                <w:numId w:val="13"/>
              </w:numPr>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30"/>
              <w:widowControl/>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30"/>
        <w:keepNext w:val="true"/>
        <w:tabs>
          <w:tab w:val="clear" w:pos="708"/>
          <w:tab w:val="left" w:pos="851" w:leader="none"/>
        </w:tabs>
        <w:spacing w:before="240" w:after="0"/>
        <w:rPr>
          <w:b/>
          <w:bCs/>
        </w:rPr>
      </w:pPr>
      <w:r>
        <w:rPr>
          <w:b/>
          <w:bCs/>
        </w:rPr>
        <w:t>* Направления оценки заявок:</w:t>
      </w:r>
    </w:p>
    <w:p>
      <w:pPr>
        <w:pStyle w:val="Style30"/>
        <w:tabs>
          <w:tab w:val="clear" w:pos="708"/>
          <w:tab w:val="left" w:pos="1134" w:leader="none"/>
        </w:tabs>
        <w:ind w:left="1701" w:hanging="1701"/>
        <w:rPr/>
      </w:pPr>
      <w:r>
        <w:rPr>
          <w:b/>
          <w:bCs/>
        </w:rPr>
        <w:t>Орг</w:t>
      </w:r>
      <w:r>
        <w:rPr/>
        <w:tab/>
        <w:t>–</w:t>
        <w:tab/>
      </w:r>
      <w:bookmarkStart w:id="434" w:name="_Hlk138342484"/>
      <w:r>
        <w:rP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434"/>
      <w:r>
        <w:rPr/>
        <w:t xml:space="preserve">; </w:t>
      </w:r>
      <w:bookmarkStart w:id="435" w:name="_Hlk138342546"/>
      <w:r>
        <w:rPr/>
        <w:t>наличие у Участника статуса «аккредитован», либо статуса «аккредитация не требуется» (или наличие заявки на аккредитацию (при необходимости))</w:t>
      </w:r>
      <w:bookmarkEnd w:id="435"/>
      <w:r>
        <w:rPr/>
        <w:t xml:space="preserve">,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при установлении требования об обязательном привлечении к исполнению Договора субподрядчиков (соисполнителей) из числа субъектов МСП – проверка субподрядчиков (соисполнителей), указанных Участником в Плане распределения поставки продукции, на наличие информации о таком субподрядчике (соисполнителе)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bookmarkStart w:id="436" w:name="_Hlk138342572"/>
      <w:r>
        <w:rPr/>
        <w:t>–</w:t>
      </w:r>
      <w:bookmarkEnd w:id="436"/>
      <w:r>
        <w:rPr/>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30"/>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437"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437"/>
      <w:r>
        <w:rPr/>
        <w:t>;</w:t>
      </w:r>
    </w:p>
    <w:p>
      <w:pPr>
        <w:pStyle w:val="Style30"/>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0"/>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30"/>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sectPr>
          <w:headerReference w:type="default" r:id="rId32"/>
          <w:headerReference w:type="first" r:id="rId33"/>
          <w:footerReference w:type="default" r:id="rId34"/>
          <w:footerReference w:type="first" r:id="rId3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Style w:val="Style30"/>
        <w:rPr/>
      </w:pPr>
      <w:r>
        <w:rPr/>
      </w:r>
    </w:p>
    <w:p>
      <w:pPr>
        <w:pStyle w:val="Style24"/>
        <w:rPr/>
      </w:pPr>
      <w:bookmarkStart w:id="438" w:name="_Toc186224036"/>
      <w:bookmarkStart w:id="439" w:name="_Ref125369438"/>
      <w:bookmarkStart w:id="440" w:name="_Ref125369021"/>
      <w:bookmarkStart w:id="441" w:name="_Ref125368331"/>
      <w:bookmarkStart w:id="442" w:name="_Ref125368313"/>
      <w:bookmarkStart w:id="443" w:name="_Ref125368302"/>
      <w:bookmarkStart w:id="444" w:name="_Ref125368291"/>
      <w:bookmarkStart w:id="445" w:name="_Ref125368283"/>
      <w:bookmarkStart w:id="446" w:name="_Ref125368184"/>
      <w:bookmarkStart w:id="447" w:name="_Ref125368172"/>
      <w:bookmarkStart w:id="448" w:name="_Ref125368165"/>
      <w:bookmarkStart w:id="449" w:name="_Ref125368150"/>
      <w:bookmarkStart w:id="450" w:name="_Ref125368140"/>
      <w:bookmarkStart w:id="451" w:name="_Ref125366285"/>
      <w:bookmarkStart w:id="452" w:name="_Ref125366280"/>
      <w:bookmarkStart w:id="453" w:name="_Ref125366013"/>
      <w:bookmarkStart w:id="454" w:name="_Ref125361951"/>
      <w:bookmarkStart w:id="455" w:name="_Ref125361648"/>
      <w:bookmarkStart w:id="456" w:name="Прил08_ПорядокОценки"/>
      <w:bookmarkEnd w:id="456"/>
      <w:r>
        <w:rPr/>
        <w:t>Приложение № 8 – Порядок и критерии оценки и сопоставления заявок</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pPr>
        <w:pStyle w:val="Style25"/>
        <w:rPr/>
      </w:pPr>
      <w:bookmarkStart w:id="457" w:name="_Toc186224037"/>
      <w:r>
        <w:rPr/>
        <w:t>Порядок и критерии оценки и сопоставления заявок</w:t>
      </w:r>
      <w:bookmarkEnd w:id="457"/>
    </w:p>
    <w:p>
      <w:pPr>
        <w:pStyle w:val="Style26"/>
        <w:rPr/>
      </w:pPr>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r>
        <w:rPr>
          <w:rStyle w:val="FootnoteReference"/>
        </w:rPr>
        <w:footnoteReference w:id="15"/>
      </w:r>
      <w:r>
        <w:rPr/>
        <w:t>.</w:t>
      </w:r>
    </w:p>
    <w:p>
      <w:pPr>
        <w:pStyle w:val="Style26"/>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_Ref186216127 \r \h </w:instrText>
      </w:r>
      <w:r>
        <w:rPr/>
        <w:fldChar w:fldCharType="separate"/>
      </w:r>
      <w:r>
        <w:rPr/>
        <w:t>4.13</w:t>
      </w:r>
      <w:r>
        <w:rPr/>
        <w:fldChar w:fldCharType="end"/>
      </w:r>
      <w:r>
        <w:rPr/>
        <w:t>.</w:t>
      </w:r>
    </w:p>
    <w:p>
      <w:pPr>
        <w:pStyle w:val="Style24"/>
        <w:rPr/>
      </w:pPr>
      <w:bookmarkStart w:id="458" w:name="_Toc186224038"/>
      <w:bookmarkStart w:id="459" w:name="Прил09_ОбоснованиеНМЦ"/>
      <w:bookmarkStart w:id="460" w:name="_Ref125360420"/>
      <w:bookmarkStart w:id="461" w:name="_Toc136261769"/>
      <w:bookmarkStart w:id="462" w:name="_Toc136261692"/>
      <w:bookmarkStart w:id="463" w:name="_Toc136249263"/>
      <w:bookmarkStart w:id="464" w:name="_Toc136261768"/>
      <w:bookmarkStart w:id="465" w:name="_Toc136261691"/>
      <w:bookmarkStart w:id="466" w:name="_Toc136249262"/>
      <w:bookmarkStart w:id="467" w:name="_Toc136261767"/>
      <w:bookmarkStart w:id="468" w:name="_Toc136261690"/>
      <w:bookmarkStart w:id="469" w:name="_Toc136249261"/>
      <w:bookmarkStart w:id="470" w:name="_Toc136261766"/>
      <w:bookmarkStart w:id="471" w:name="_Toc136261689"/>
      <w:bookmarkStart w:id="472" w:name="_Toc136249260"/>
      <w:bookmarkEnd w:id="461"/>
      <w:bookmarkEnd w:id="462"/>
      <w:bookmarkEnd w:id="463"/>
      <w:bookmarkEnd w:id="464"/>
      <w:bookmarkEnd w:id="465"/>
      <w:bookmarkEnd w:id="466"/>
      <w:bookmarkEnd w:id="467"/>
      <w:bookmarkEnd w:id="468"/>
      <w:bookmarkEnd w:id="469"/>
      <w:bookmarkEnd w:id="470"/>
      <w:bookmarkEnd w:id="471"/>
      <w:bookmarkEnd w:id="472"/>
      <w:r>
        <w:rPr/>
        <w:t>Приложение № 9 – Обоснование НМЦ</w:t>
      </w:r>
      <w:bookmarkEnd w:id="458"/>
      <w:bookmarkEnd w:id="459"/>
      <w:bookmarkEnd w:id="460"/>
    </w:p>
    <w:p>
      <w:pPr>
        <w:pStyle w:val="Style25"/>
        <w:rPr/>
      </w:pPr>
      <w:bookmarkStart w:id="473" w:name="_Toc186224039"/>
      <w:r>
        <w:rPr/>
        <w:t>Пояснения к Обоснованию НМЦ</w:t>
      </w:r>
      <w:bookmarkEnd w:id="473"/>
    </w:p>
    <w:p>
      <w:pPr>
        <w:pStyle w:val="Style26"/>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4"/>
        <w:rPr/>
      </w:pPr>
      <w:bookmarkStart w:id="474" w:name="_Toc186224040"/>
      <w:bookmarkStart w:id="475" w:name="Прил10_ЗаявкаНаАккредитацию"/>
      <w:bookmarkEnd w:id="475"/>
      <w:r>
        <w:rPr/>
        <w:t>Приложение № 10 – Форма Заявки на аккредитацию</w:t>
      </w:r>
      <w:bookmarkEnd w:id="474"/>
    </w:p>
    <w:p>
      <w:pPr>
        <w:pStyle w:val="Style25"/>
        <w:rPr/>
      </w:pPr>
      <w:bookmarkStart w:id="476" w:name="_Toc186224041"/>
      <w:r>
        <w:rPr/>
        <w:t>Пояснения к форме Заявки на аккредитацию</w:t>
      </w:r>
      <w:bookmarkEnd w:id="476"/>
    </w:p>
    <w:p>
      <w:pPr>
        <w:pStyle w:val="Style26"/>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bookmarkStart w:id="477" w:name="_MON_1761047498"/>
    </w:p>
    <w:p>
      <w:pPr>
        <w:pStyle w:val="Style30"/>
        <w:jc w:val="center"/>
        <w:rPr/>
      </w:pPr>
      <w:bookmarkEnd w:id="477"/>
      <w:r>
        <w:rPr/>
        <w:object>
          <v:shapetype id="_x0000_tole_rId36" coordsize="21600,21600" o:spt="ole_rId3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6" type="_x0000_tole_rId36" style="width:89.25pt;height:55.5pt;mso-wrap-distance-right:0pt" filled="f" o:ole="">
            <v:imagedata r:id="rId37" o:title=""/>
          </v:shape>
          <o:OLEObject Type="Embed" ProgID="Excel.Sheet.12" ShapeID="ole_rId36" DrawAspect="Icon" ObjectID="_407869045" r:id="rId36"/>
        </w:object>
      </w:r>
    </w:p>
    <w:sectPr>
      <w:headerReference w:type="default" r:id="rId38"/>
      <w:headerReference w:type="first" r:id="rId39"/>
      <w:footerReference w:type="default" r:id="rId40"/>
      <w:footerReference w:type="first" r:id="rId41"/>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Arial">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4324283"/>
    </w:sdtPr>
    <w:sdtContent>
      <w:p>
        <w:pPr>
          <w:pStyle w:val="Footer"/>
          <w:spacing w:before="120" w:after="0"/>
          <w:rPr/>
        </w:pPr>
        <w:r>
          <w:rPr/>
          <w:fldChar w:fldCharType="begin"/>
        </w:r>
        <w:r>
          <w:rPr/>
          <w:instrText xml:space="preserve"> PAGE </w:instrText>
        </w:r>
        <w:r>
          <w:rPr/>
          <w:fldChar w:fldCharType="separate"/>
        </w:r>
        <w:r>
          <w:rPr/>
          <w:t>62</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9228175"/>
    </w:sdtPr>
    <w:sdtContent>
      <w:p>
        <w:pPr>
          <w:pStyle w:val="Footer"/>
          <w:spacing w:before="120" w:after="0"/>
          <w:rPr/>
        </w:pPr>
        <w:r>
          <w:rPr/>
          <w:fldChar w:fldCharType="begin"/>
        </w:r>
        <w:r>
          <w:rPr/>
          <w:instrText xml:space="preserve"> PAGE </w:instrText>
        </w:r>
        <w:r>
          <w:rPr/>
          <w:fldChar w:fldCharType="separate"/>
        </w:r>
        <w:r>
          <w:rPr/>
          <w:t>69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81283365"/>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72757291"/>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08139332"/>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9748293"/>
    </w:sdtPr>
    <w:sdtContent>
      <w:p>
        <w:pPr>
          <w:pStyle w:val="Footer"/>
          <w:spacing w:before="120" w:after="0"/>
          <w:rPr/>
        </w:pPr>
        <w:r>
          <w:rPr/>
          <w:fldChar w:fldCharType="begin"/>
        </w:r>
        <w:r>
          <w:rPr/>
          <w:instrText xml:space="preserve"> PAGE </w:instrText>
        </w:r>
        <w:r>
          <w:rPr/>
          <w:fldChar w:fldCharType="separate"/>
        </w:r>
        <w:r>
          <w:rPr/>
          <w:t>49</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69913064"/>
    </w:sdtPr>
    <w:sdtContent>
      <w:p>
        <w:pPr>
          <w:pStyle w:val="Footer"/>
          <w:spacing w:before="120" w:after="0"/>
          <w:rPr/>
        </w:pPr>
        <w:r>
          <w:rPr/>
          <w:fldChar w:fldCharType="begin"/>
        </w:r>
        <w:r>
          <w:rPr/>
          <w:instrText xml:space="preserve"> PAGE </w:instrText>
        </w:r>
        <w:r>
          <w:rPr/>
          <w:fldChar w:fldCharType="separate"/>
        </w:r>
        <w:r>
          <w:rPr/>
          <w:t>56</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2"/>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2"/>
        <w:spacing w:before="80" w:after="0"/>
        <w:ind w:left="567" w:hanging="567"/>
        <w:jc w:val="both"/>
        <w:rPr/>
      </w:pPr>
      <w:r>
        <w:rPr>
          <w:rStyle w:val="Style13"/>
        </w:rPr>
        <w:footnoteRef/>
      </w:r>
      <w:r>
        <w:rPr/>
        <w:tab/>
        <w:t>Если при проведении аукциона цена была снижена до нуля, далее аукцион проводился на повышение стоимости заявки (цены Договора).</w:t>
      </w:r>
    </w:p>
  </w:footnote>
  <w:footnote w:id="4">
    <w:p>
      <w:pPr>
        <w:pStyle w:val="Style32"/>
        <w:spacing w:before="80" w:after="0"/>
        <w:ind w:left="567" w:hanging="567"/>
        <w:jc w:val="both"/>
        <w:rPr/>
      </w:pPr>
      <w:r>
        <w:rPr>
          <w:rStyle w:val="Style13"/>
        </w:rPr>
        <w:footnoteRef/>
      </w:r>
      <w:r>
        <w:rPr/>
        <w:tab/>
        <w:t>Определенные в соответствии с Законом 422-ФЗ.</w:t>
      </w:r>
    </w:p>
  </w:footnote>
  <w:footnote w:id="5">
    <w:p>
      <w:pPr>
        <w:pStyle w:val="Style32"/>
        <w:spacing w:before="80" w:after="0"/>
        <w:ind w:left="567" w:hanging="567"/>
        <w:jc w:val="both"/>
        <w:rPr/>
      </w:pPr>
      <w:r>
        <w:rPr>
          <w:rStyle w:val="Style13"/>
        </w:rPr>
        <w:footnoteRef/>
      </w:r>
      <w:r>
        <w:rPr/>
        <w:tab/>
        <w:t>С учетом пункта </w:t>
      </w:r>
      <w:r>
        <w:rPr/>
        <w:fldChar w:fldCharType="begin"/>
      </w:r>
      <w:r>
        <w:rPr/>
        <w:instrText xml:space="preserve"> REF _Ref125365558 \r \h </w:instrText>
      </w:r>
      <w:r>
        <w:rPr/>
        <w:fldChar w:fldCharType="separate"/>
      </w:r>
      <w:r>
        <w:rPr/>
        <w:t>4.15.5</w:t>
      </w:r>
      <w:r>
        <w:rPr/>
        <w:fldChar w:fldCharType="end"/>
      </w:r>
      <w:r>
        <w:rPr/>
        <w:t>.</w:t>
      </w:r>
    </w:p>
  </w:footnote>
  <w:footnote w:id="6">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pPr>
        <w:pStyle w:val="Style32"/>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32"/>
        <w:spacing w:before="80" w:after="0"/>
        <w:ind w:left="567" w:hanging="567"/>
        <w:jc w:val="both"/>
        <w:rPr/>
      </w:pPr>
      <w:r>
        <w:rPr>
          <w:rStyle w:val="Style13"/>
        </w:rPr>
        <w:footnoteRef/>
      </w:r>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 w:id="9">
    <w:p>
      <w:pPr>
        <w:pStyle w:val="Style32"/>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2"/>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2">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3">
    <w:p>
      <w:pPr>
        <w:pStyle w:val="Style32"/>
        <w:spacing w:before="80" w:after="0"/>
        <w:ind w:left="567" w:hanging="567"/>
        <w:jc w:val="both"/>
        <w:rPr/>
      </w:pPr>
      <w:r>
        <w:rPr>
          <w:rStyle w:val="Style13"/>
        </w:rPr>
        <w:footnoteRef/>
      </w:r>
      <w:bookmarkStart w:id="478" w:name="_Hlk139028796_Копия_1"/>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78"/>
    </w:p>
  </w:footnote>
  <w:footnote w:id="14">
    <w:p>
      <w:pPr>
        <w:pStyle w:val="Style32"/>
        <w:spacing w:before="80" w:after="0"/>
        <w:ind w:left="567" w:hanging="567"/>
        <w:jc w:val="both"/>
        <w:rPr/>
      </w:pPr>
      <w:r>
        <w:rPr>
          <w:rStyle w:val="Style13"/>
        </w:rPr>
        <w:footnoteRef/>
      </w:r>
      <w:bookmarkStart w:id="479" w:name="_Hlk139028803_Копия_1"/>
      <w:bookmarkStart w:id="480" w:name="_Hlk139028804_Копия_1"/>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79"/>
      <w:bookmarkEnd w:id="480"/>
    </w:p>
  </w:footnote>
  <w:footnote w:id="15">
    <w:p>
      <w:pPr>
        <w:pStyle w:val="Style32"/>
        <w:spacing w:before="80" w:after="0"/>
        <w:ind w:left="567" w:hanging="567"/>
        <w:jc w:val="both"/>
        <w:rPr/>
      </w:pPr>
      <w:r>
        <w:rPr>
          <w:rStyle w:val="Style13"/>
        </w:rPr>
        <w:footnoteRef/>
      </w:r>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4"/>
      <w:numFmt w:val="decimal"/>
      <w:lvlText w:val="%1."/>
      <w:lvlJc w:val="left"/>
      <w:pPr>
        <w:tabs>
          <w:tab w:val="num" w:pos="1134"/>
        </w:tabs>
        <w:ind w:left="1134" w:hanging="1134"/>
      </w:pPr>
      <w:rPr/>
    </w:lvl>
    <w:lvl w:ilvl="1">
      <w:start w:val="1"/>
      <w:pStyle w:val="Style25"/>
      <w:numFmt w:val="decimal"/>
      <w:lvlText w:val="%1.%2"/>
      <w:lvlJc w:val="left"/>
      <w:pPr>
        <w:tabs>
          <w:tab w:val="num" w:pos="1134"/>
        </w:tabs>
        <w:ind w:left="1134" w:hanging="1134"/>
      </w:pPr>
      <w:rPr/>
    </w:lvl>
    <w:lvl w:ilvl="2">
      <w:start w:val="1"/>
      <w:pStyle w:val="Style26"/>
      <w:numFmt w:val="decimal"/>
      <w:lvlText w:val="%1.%2.%3"/>
      <w:lvlJc w:val="left"/>
      <w:pPr>
        <w:tabs>
          <w:tab w:val="num" w:pos="1134"/>
        </w:tabs>
        <w:ind w:left="1134" w:hanging="1134"/>
      </w:pPr>
      <w:rPr/>
    </w:lvl>
    <w:lvl w:ilvl="3">
      <w:start w:val="1"/>
      <w:pStyle w:val="Style27"/>
      <w:numFmt w:val="russianLower"/>
      <w:lvlText w:val="%4)"/>
      <w:lvlJc w:val="left"/>
      <w:pPr>
        <w:tabs>
          <w:tab w:val="num" w:pos="1701"/>
        </w:tabs>
        <w:ind w:left="1701" w:hanging="567"/>
      </w:pPr>
      <w:rPr/>
    </w:lvl>
    <w:lvl w:ilvl="4">
      <w:start w:val="1"/>
      <w:pStyle w:val="Style28"/>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qFormat/>
    <w:rsid w:val="006608d1"/>
    <w:rPr>
      <w:sz w:val="20"/>
      <w:szCs w:val="20"/>
    </w:rPr>
  </w:style>
  <w:style w:type="character" w:styleId="Style13">
    <w:name w:val="Символ сноски"/>
    <w:basedOn w:val="DefaultParagraphFont"/>
    <w:unhideWhenUsed/>
    <w:qFormat/>
    <w:rsid w:val="006608d1"/>
    <w:rPr>
      <w:vertAlign w:val="superscript"/>
    </w:rPr>
  </w:style>
  <w:style w:type="character" w:styleId="FootnoteReference">
    <w:name w:val="Footnote Reference"/>
    <w:rPr>
      <w:vertAlign w:val="superscript"/>
    </w:rPr>
  </w:style>
  <w:style w:type="character" w:styleId="Hyperlink" w:customStyle="1">
    <w:name w:val="Hyperlink"/>
    <w:uiPriority w:val="99"/>
    <w:rsid w:val="005b762c"/>
    <w:rPr>
      <w:color w:val="0000FF"/>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customStyle="1">
    <w:name w:val="комментарий"/>
    <w:qFormat/>
    <w:rsid w:val="00252605"/>
    <w:rPr>
      <w:b/>
      <w:i/>
      <w:shd w:fill="FFFF99" w:val="clear"/>
    </w:rPr>
  </w:style>
  <w:style w:type="character" w:styleId="Style20">
    <w:name w:val="Ссылка указателя"/>
    <w:qFormat/>
    <w:rPr/>
  </w:style>
  <w:style w:type="character" w:styleId="EndnoteReference">
    <w:name w:val="Endnote Reference"/>
    <w:rPr>
      <w:vertAlign w:val="superscript"/>
    </w:rPr>
  </w:style>
  <w:style w:type="character" w:styleId="Style21">
    <w:name w:val="Символ концевой сноски"/>
    <w:qFormat/>
    <w:rPr/>
  </w:style>
  <w:style w:type="paragraph" w:styleId="Style22">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3">
    <w:name w:val="Указатель"/>
    <w:basedOn w:val="Normal"/>
    <w:qFormat/>
    <w:pPr>
      <w:suppressLineNumbers/>
    </w:pPr>
    <w:rPr/>
  </w:style>
  <w:style w:type="paragraph" w:styleId="Style24" w:customStyle="1">
    <w:name w:val="[РГ] Раздел"/>
    <w:basedOn w:val="Normal"/>
    <w:next w:val="Style25"/>
    <w:qFormat/>
    <w:rsid w:val="00c95e18"/>
    <w:pPr>
      <w:keepNext w:val="true"/>
      <w:pageBreakBefore/>
      <w:numPr>
        <w:ilvl w:val="0"/>
        <w:numId w:val="1"/>
      </w:numPr>
      <w:spacing w:before="0" w:after="360"/>
      <w:jc w:val="both"/>
      <w:outlineLvl w:val="0"/>
    </w:pPr>
    <w:rPr>
      <w:b/>
      <w:bCs/>
      <w:caps/>
    </w:rPr>
  </w:style>
  <w:style w:type="paragraph" w:styleId="Style25" w:customStyle="1">
    <w:name w:val="[РГ] Подраздел"/>
    <w:basedOn w:val="Normal"/>
    <w:next w:val="Style26"/>
    <w:qFormat/>
    <w:rsid w:val="00891546"/>
    <w:pPr>
      <w:keepNext w:val="true"/>
      <w:numPr>
        <w:ilvl w:val="1"/>
        <w:numId w:val="1"/>
      </w:numPr>
      <w:spacing w:before="360" w:after="0"/>
      <w:jc w:val="both"/>
      <w:outlineLvl w:val="1"/>
    </w:pPr>
    <w:rPr>
      <w:b/>
      <w:bCs/>
    </w:rPr>
  </w:style>
  <w:style w:type="paragraph" w:styleId="Style26" w:customStyle="1">
    <w:name w:val="[РГ] Пункт"/>
    <w:basedOn w:val="Normal"/>
    <w:qFormat/>
    <w:rsid w:val="00891546"/>
    <w:pPr>
      <w:numPr>
        <w:ilvl w:val="2"/>
        <w:numId w:val="1"/>
      </w:numPr>
      <w:jc w:val="both"/>
      <w:outlineLvl w:val="2"/>
    </w:pPr>
    <w:rPr/>
  </w:style>
  <w:style w:type="paragraph" w:styleId="Style27" w:customStyle="1">
    <w:name w:val="[РГ] Подпункт"/>
    <w:basedOn w:val="Normal"/>
    <w:qFormat/>
    <w:rsid w:val="00891546"/>
    <w:pPr>
      <w:numPr>
        <w:ilvl w:val="3"/>
        <w:numId w:val="1"/>
      </w:numPr>
      <w:jc w:val="both"/>
      <w:outlineLvl w:val="3"/>
    </w:pPr>
    <w:rPr/>
  </w:style>
  <w:style w:type="paragraph" w:styleId="Style28" w:customStyle="1">
    <w:name w:val="[РГ] Перечисление"/>
    <w:basedOn w:val="Normal"/>
    <w:qFormat/>
    <w:rsid w:val="00891546"/>
    <w:pPr>
      <w:numPr>
        <w:ilvl w:val="4"/>
        <w:numId w:val="1"/>
      </w:numPr>
      <w:jc w:val="both"/>
      <w:outlineLvl w:val="4"/>
    </w:pPr>
    <w:rPr/>
  </w:style>
  <w:style w:type="paragraph" w:styleId="Style29" w:customStyle="1">
    <w:name w:val="[РГ] Заголовок"/>
    <w:basedOn w:val="Normal"/>
    <w:next w:val="Style30"/>
    <w:qFormat/>
    <w:rsid w:val="00f87384"/>
    <w:pPr>
      <w:keepNext w:val="true"/>
      <w:pageBreakBefore/>
      <w:spacing w:before="0" w:after="360"/>
      <w:jc w:val="both"/>
    </w:pPr>
    <w:rPr>
      <w:b/>
      <w:bCs/>
      <w:caps/>
    </w:rPr>
  </w:style>
  <w:style w:type="paragraph" w:styleId="Style30" w:customStyle="1">
    <w:name w:val="[РГ] Текст"/>
    <w:basedOn w:val="Normal"/>
    <w:qFormat/>
    <w:rsid w:val="00891546"/>
    <w:pPr>
      <w:jc w:val="both"/>
    </w:pPr>
    <w:rPr/>
  </w:style>
  <w:style w:type="paragraph" w:styleId="Style31">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unhideWhenUsed/>
    <w:rsid w:val="006608d1"/>
    <w:pPr>
      <w:spacing w:before="0" w:after="0"/>
    </w:pPr>
    <w:rPr>
      <w:sz w:val="20"/>
      <w:szCs w:val="20"/>
    </w:rPr>
  </w:style>
  <w:style w:type="paragraph" w:styleId="Style32"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3" w:customStyle="1">
    <w:name w:val="[РГ] Альтернатива / Дополнение"/>
    <w:basedOn w:val="Style30"/>
    <w:next w:val="Style30"/>
    <w:qFormat/>
    <w:rsid w:val="00a932a1"/>
    <w:pPr/>
    <w:rPr>
      <w:i/>
      <w:shd w:fill="CCECFF" w:val="clear"/>
    </w:rPr>
  </w:style>
  <w:style w:type="paragraph" w:styleId="Revision">
    <w:name w:val="Revision"/>
    <w:uiPriority w:val="99"/>
    <w:semiHidden/>
    <w:qFormat/>
    <w:rsid w:val="00537a41"/>
    <w:pPr>
      <w:widowControl/>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Tableheader" w:customStyle="1">
    <w:name w:val="Table_header"/>
    <w:basedOn w:val="Normal"/>
    <w:qFormat/>
    <w:rsid w:val="00252605"/>
    <w:pPr>
      <w:suppressAutoHyphens w:val="true"/>
      <w:jc w:val="both"/>
    </w:pPr>
    <w:rPr>
      <w:rFonts w:eastAsia="Times New Roman" w:cs="Times New Roman"/>
      <w:b/>
      <w:sz w:val="20"/>
      <w:szCs w:val="24"/>
      <w:lang w:eastAsia="ru-RU"/>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4">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5">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s://tender.lot-online.ru/app/EtpDocList/page" TargetMode="External"/><Relationship Id="rId5" Type="http://schemas.openxmlformats.org/officeDocument/2006/relationships/hyperlink" Target="mailto:inform@yakutskenergo.ru" TargetMode="External"/><Relationship Id="rId6" Type="http://schemas.openxmlformats.org/officeDocument/2006/relationships/hyperlink" Target="mailto:inform@yakutskenergo.ru" TargetMode="External"/><Relationship Id="rId7" Type="http://schemas.openxmlformats.org/officeDocument/2006/relationships/header" Target="head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package" Target="embeddings/oleObject1.docx"/><Relationship Id="rId15" Type="http://schemas.openxmlformats.org/officeDocument/2006/relationships/image" Target="media/image2.wmf"/><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header" Target="header6.xml"/><Relationship Id="rId21" Type="http://schemas.openxmlformats.org/officeDocument/2006/relationships/header" Target="header7.xml"/><Relationship Id="rId22" Type="http://schemas.openxmlformats.org/officeDocument/2006/relationships/footer" Target="footer8.xml"/><Relationship Id="rId23" Type="http://schemas.openxmlformats.org/officeDocument/2006/relationships/footer" Target="footer9.xml"/><Relationship Id="rId24" Type="http://schemas.openxmlformats.org/officeDocument/2006/relationships/package" Target="embeddings/oleObject2.docx"/><Relationship Id="rId25" Type="http://schemas.openxmlformats.org/officeDocument/2006/relationships/image" Target="media/image3.wmf"/><Relationship Id="rId26" Type="http://schemas.openxmlformats.org/officeDocument/2006/relationships/package" Target="embeddings/oleObject3.docx"/><Relationship Id="rId27" Type="http://schemas.openxmlformats.org/officeDocument/2006/relationships/image" Target="media/image4.wmf"/><Relationship Id="rId28" Type="http://schemas.openxmlformats.org/officeDocument/2006/relationships/header" Target="header8.xml"/><Relationship Id="rId29" Type="http://schemas.openxmlformats.org/officeDocument/2006/relationships/header" Target="header9.xml"/><Relationship Id="rId30" Type="http://schemas.openxmlformats.org/officeDocument/2006/relationships/footer" Target="footer10.xml"/><Relationship Id="rId31" Type="http://schemas.openxmlformats.org/officeDocument/2006/relationships/footer" Target="footer11.xml"/><Relationship Id="rId32" Type="http://schemas.openxmlformats.org/officeDocument/2006/relationships/header" Target="header10.xml"/><Relationship Id="rId33" Type="http://schemas.openxmlformats.org/officeDocument/2006/relationships/header" Target="header11.xml"/><Relationship Id="rId34" Type="http://schemas.openxmlformats.org/officeDocument/2006/relationships/footer" Target="footer12.xml"/><Relationship Id="rId35" Type="http://schemas.openxmlformats.org/officeDocument/2006/relationships/footer" Target="footer13.xml"/><Relationship Id="rId36" Type="http://schemas.openxmlformats.org/officeDocument/2006/relationships/package" Target="embeddings/oleObject4.xlsx"/><Relationship Id="rId37" Type="http://schemas.openxmlformats.org/officeDocument/2006/relationships/image" Target="media/image5.wmf"/><Relationship Id="rId38" Type="http://schemas.openxmlformats.org/officeDocument/2006/relationships/header" Target="header12.xml"/><Relationship Id="rId39" Type="http://schemas.openxmlformats.org/officeDocument/2006/relationships/header" Target="header13.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footnotes" Target="footnotes.xml"/><Relationship Id="rId43" Type="http://schemas.openxmlformats.org/officeDocument/2006/relationships/numbering" Target="numbering.xml"/><Relationship Id="rId44" Type="http://schemas.openxmlformats.org/officeDocument/2006/relationships/fontTable" Target="fontTable.xml"/><Relationship Id="rId45" Type="http://schemas.openxmlformats.org/officeDocument/2006/relationships/settings" Target="settings.xml"/><Relationship Id="rId46" Type="http://schemas.openxmlformats.org/officeDocument/2006/relationships/theme" Target="theme/theme1.xml"/><Relationship Id="rId4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DF387-588D-4F41-8059-237B7D13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Application>AlterOffice/3.4.0.8$Linux_X86_64 LibreOffice_project/8f3f3c847f0b8d6fea24e251d3d8ed4f23cbe23c</Application>
  <AppVersion>15.0000</AppVersion>
  <Pages>72</Pages>
  <Words>16850</Words>
  <Characters>116985</Characters>
  <CharactersWithSpaces>132633</CharactersWithSpaces>
  <Paragraphs>1007</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2023-06-27T10:22:00Z</dcterms:created>
  <dc:creator>Владимир Щербаков</dc:creator>
  <dc:description/>
  <cp:keywords>Типовая форма</cp:keywords>
  <dc:language>ru-RU</dc:language>
  <cp:lastModifiedBy>butakovama</cp:lastModifiedBy>
  <dcterms:modified xsi:type="dcterms:W3CDTF">2025-02-06T08:24:13Z</dcterms:modified>
  <cp:revision>216</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